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14:paraId="2BE58C8D" w14:textId="77777777" w:rsidTr="00CC1ADB">
        <w:tc>
          <w:tcPr>
            <w:tcW w:w="9889" w:type="dxa"/>
            <w:shd w:val="clear" w:color="auto" w:fill="auto"/>
          </w:tcPr>
          <w:p w14:paraId="5FCDE06F" w14:textId="180C3205"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4B2B04">
              <w:rPr>
                <w:rFonts w:asciiTheme="minorHAnsi" w:hAnsiTheme="minorHAnsi" w:cstheme="minorHAnsi"/>
                <w:sz w:val="34"/>
              </w:rPr>
              <w:t>Wednesday</w:t>
            </w:r>
            <w:r w:rsidR="006C73E7">
              <w:rPr>
                <w:rFonts w:asciiTheme="minorHAnsi" w:hAnsiTheme="minorHAnsi" w:cstheme="minorHAnsi"/>
                <w:sz w:val="34"/>
              </w:rPr>
              <w:t xml:space="preserve"> 2</w:t>
            </w:r>
            <w:r w:rsidR="00A72405">
              <w:rPr>
                <w:rFonts w:asciiTheme="minorHAnsi" w:hAnsiTheme="minorHAnsi" w:cstheme="minorHAnsi"/>
                <w:sz w:val="34"/>
              </w:rPr>
              <w:t>6</w:t>
            </w:r>
            <w:r w:rsidR="00863B45" w:rsidRPr="00B406B1">
              <w:rPr>
                <w:rFonts w:asciiTheme="minorHAnsi" w:hAnsiTheme="minorHAnsi" w:cstheme="minorHAnsi"/>
                <w:sz w:val="34"/>
              </w:rPr>
              <w:t xml:space="preserve"> January </w:t>
            </w:r>
            <w:r w:rsidR="003A0A9D" w:rsidRPr="00B406B1">
              <w:rPr>
                <w:rFonts w:asciiTheme="minorHAnsi" w:hAnsiTheme="minorHAnsi" w:cstheme="minorHAnsi"/>
                <w:sz w:val="34"/>
              </w:rPr>
              <w:t>20</w:t>
            </w:r>
            <w:r w:rsidR="00A413EC">
              <w:rPr>
                <w:rFonts w:asciiTheme="minorHAnsi" w:hAnsiTheme="minorHAnsi" w:cstheme="minorHAnsi"/>
                <w:sz w:val="34"/>
              </w:rPr>
              <w:t>2</w:t>
            </w:r>
            <w:r w:rsidR="00A72405">
              <w:rPr>
                <w:rFonts w:asciiTheme="minorHAnsi" w:hAnsiTheme="minorHAnsi" w:cstheme="minorHAnsi"/>
                <w:sz w:val="34"/>
              </w:rPr>
              <w:t>2</w:t>
            </w:r>
          </w:p>
          <w:p w14:paraId="7827DA10" w14:textId="77777777" w:rsidR="00F918FA" w:rsidRPr="00D8287E" w:rsidRDefault="00F918FA" w:rsidP="00D8287E">
            <w:pPr>
              <w:pStyle w:val="Header"/>
              <w:rPr>
                <w:b/>
              </w:rPr>
            </w:pPr>
          </w:p>
        </w:tc>
      </w:tr>
    </w:tbl>
    <w:p w14:paraId="204DD710" w14:textId="77777777" w:rsidR="00F918FA" w:rsidRDefault="00F918FA" w:rsidP="0052545A">
      <w:bookmarkStart w:id="0" w:name="_GoBack"/>
    </w:p>
    <w:bookmarkEnd w:id="0"/>
    <w:p w14:paraId="6540527B" w14:textId="77777777"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3592"/>
        <w:gridCol w:w="4513"/>
        <w:gridCol w:w="1243"/>
      </w:tblGrid>
      <w:tr w:rsidR="00D8287E" w14:paraId="49E6EEEA" w14:textId="77777777" w:rsidTr="007B136E">
        <w:tc>
          <w:tcPr>
            <w:tcW w:w="10566" w:type="dxa"/>
            <w:gridSpan w:val="4"/>
            <w:hideMark/>
          </w:tcPr>
          <w:p w14:paraId="6FA9386F" w14:textId="77777777" w:rsidR="00D8287E" w:rsidRDefault="00D8287E" w:rsidP="00F918FA">
            <w:pPr>
              <w:rPr>
                <w:b/>
                <w:sz w:val="24"/>
                <w:szCs w:val="24"/>
              </w:rPr>
            </w:pPr>
            <w:r>
              <w:rPr>
                <w:b/>
                <w:sz w:val="24"/>
                <w:szCs w:val="24"/>
              </w:rPr>
              <w:t>IN ATTENDANCE</w:t>
            </w:r>
            <w:r w:rsidR="004B2B04">
              <w:rPr>
                <w:b/>
                <w:sz w:val="24"/>
                <w:szCs w:val="24"/>
              </w:rPr>
              <w:t xml:space="preserve"> ONLINE</w:t>
            </w:r>
          </w:p>
        </w:tc>
      </w:tr>
      <w:tr w:rsidR="00D8287E" w14:paraId="7D6018A9" w14:textId="77777777" w:rsidTr="009C6451">
        <w:trPr>
          <w:trHeight w:val="1206"/>
        </w:trPr>
        <w:tc>
          <w:tcPr>
            <w:tcW w:w="4757" w:type="dxa"/>
            <w:gridSpan w:val="2"/>
            <w:tcBorders>
              <w:top w:val="nil"/>
              <w:left w:val="nil"/>
              <w:bottom w:val="single" w:sz="4" w:space="0" w:color="auto"/>
              <w:right w:val="nil"/>
            </w:tcBorders>
            <w:shd w:val="clear" w:color="auto" w:fill="auto"/>
          </w:tcPr>
          <w:p w14:paraId="3B6852C3" w14:textId="77777777" w:rsidR="00B25D55" w:rsidRPr="009C6451" w:rsidRDefault="00863B45" w:rsidP="00B25D55">
            <w:pPr>
              <w:pStyle w:val="Header"/>
              <w:numPr>
                <w:ilvl w:val="0"/>
                <w:numId w:val="5"/>
              </w:numPr>
              <w:tabs>
                <w:tab w:val="left" w:pos="8712"/>
              </w:tabs>
              <w:ind w:right="-18"/>
              <w:rPr>
                <w:rFonts w:cstheme="minorHAnsi"/>
              </w:rPr>
            </w:pPr>
            <w:r w:rsidRPr="009C6451">
              <w:rPr>
                <w:rFonts w:cstheme="minorHAnsi"/>
              </w:rPr>
              <w:t>Mike McCormick (Chair)</w:t>
            </w:r>
          </w:p>
          <w:p w14:paraId="2C3BCED2" w14:textId="77777777" w:rsidR="00D8287E" w:rsidRPr="009C6451" w:rsidRDefault="0040099B" w:rsidP="00F918FA">
            <w:pPr>
              <w:pStyle w:val="Header"/>
              <w:numPr>
                <w:ilvl w:val="0"/>
                <w:numId w:val="5"/>
              </w:numPr>
              <w:tabs>
                <w:tab w:val="left" w:pos="8712"/>
              </w:tabs>
              <w:ind w:right="-18"/>
              <w:rPr>
                <w:rFonts w:cstheme="minorHAnsi"/>
              </w:rPr>
            </w:pPr>
            <w:r w:rsidRPr="009C6451">
              <w:rPr>
                <w:rFonts w:cstheme="minorHAnsi"/>
              </w:rPr>
              <w:t>Paul Walker</w:t>
            </w:r>
          </w:p>
          <w:p w14:paraId="0D7A08D0" w14:textId="77777777" w:rsidR="007D5A5C" w:rsidRPr="009C6451" w:rsidRDefault="00B25D55" w:rsidP="00493C77">
            <w:pPr>
              <w:pStyle w:val="Header"/>
              <w:numPr>
                <w:ilvl w:val="0"/>
                <w:numId w:val="5"/>
              </w:numPr>
              <w:tabs>
                <w:tab w:val="left" w:pos="8712"/>
              </w:tabs>
              <w:ind w:right="-18"/>
              <w:rPr>
                <w:rFonts w:cstheme="minorHAnsi"/>
              </w:rPr>
            </w:pPr>
            <w:r w:rsidRPr="009C6451">
              <w:rPr>
                <w:rFonts w:cstheme="minorHAnsi"/>
              </w:rPr>
              <w:t>Lorna Johnston</w:t>
            </w:r>
            <w:r w:rsidR="00493C77" w:rsidRPr="009C6451">
              <w:rPr>
                <w:rFonts w:cstheme="minorHAnsi"/>
              </w:rPr>
              <w:t xml:space="preserve">, </w:t>
            </w:r>
            <w:r w:rsidR="002E7723" w:rsidRPr="009C6451">
              <w:rPr>
                <w:rFonts w:cstheme="minorHAnsi"/>
              </w:rPr>
              <w:t xml:space="preserve">Executive Director &amp; </w:t>
            </w:r>
            <w:r w:rsidR="007D5A5C" w:rsidRPr="009C6451">
              <w:rPr>
                <w:rFonts w:cstheme="minorHAnsi"/>
              </w:rPr>
              <w:t>Accountable Officer</w:t>
            </w:r>
          </w:p>
          <w:p w14:paraId="1DB0C1B9" w14:textId="77777777" w:rsidR="00971E98" w:rsidRPr="009C6451" w:rsidRDefault="00971E98" w:rsidP="00971E98">
            <w:pPr>
              <w:pStyle w:val="Header"/>
              <w:tabs>
                <w:tab w:val="left" w:pos="8712"/>
              </w:tabs>
              <w:ind w:left="360" w:right="-18"/>
              <w:rPr>
                <w:rFonts w:cstheme="minorHAnsi"/>
              </w:rPr>
            </w:pPr>
          </w:p>
        </w:tc>
        <w:tc>
          <w:tcPr>
            <w:tcW w:w="5809" w:type="dxa"/>
            <w:gridSpan w:val="2"/>
            <w:tcBorders>
              <w:top w:val="nil"/>
              <w:left w:val="nil"/>
              <w:bottom w:val="single" w:sz="4" w:space="0" w:color="auto"/>
              <w:right w:val="nil"/>
            </w:tcBorders>
            <w:shd w:val="clear" w:color="auto" w:fill="auto"/>
            <w:hideMark/>
          </w:tcPr>
          <w:p w14:paraId="2104857D" w14:textId="49211A2A" w:rsidR="006D68E2" w:rsidRPr="009C6451" w:rsidRDefault="00BA147A" w:rsidP="003A0A9D">
            <w:pPr>
              <w:pStyle w:val="Header"/>
              <w:numPr>
                <w:ilvl w:val="0"/>
                <w:numId w:val="5"/>
              </w:numPr>
              <w:tabs>
                <w:tab w:val="left" w:pos="8712"/>
              </w:tabs>
              <w:ind w:right="-18"/>
              <w:rPr>
                <w:rFonts w:cstheme="minorHAnsi"/>
              </w:rPr>
            </w:pPr>
            <w:r w:rsidRPr="009C6451">
              <w:rPr>
                <w:rFonts w:cstheme="minorHAnsi"/>
              </w:rPr>
              <w:t>Sarah Nicholson</w:t>
            </w:r>
            <w:r w:rsidR="007D5A5C" w:rsidRPr="009C6451">
              <w:rPr>
                <w:rFonts w:cstheme="minorHAnsi"/>
              </w:rPr>
              <w:t xml:space="preserve">, </w:t>
            </w:r>
            <w:r w:rsidRPr="009C6451">
              <w:rPr>
                <w:rFonts w:cstheme="minorHAnsi"/>
              </w:rPr>
              <w:t>Office</w:t>
            </w:r>
            <w:r w:rsidR="007D5A5C" w:rsidRPr="009C6451">
              <w:rPr>
                <w:rFonts w:cstheme="minorHAnsi"/>
              </w:rPr>
              <w:t xml:space="preserve"> Manage</w:t>
            </w:r>
            <w:r w:rsidR="009C6451" w:rsidRPr="009C6451">
              <w:rPr>
                <w:rFonts w:cstheme="minorHAnsi"/>
              </w:rPr>
              <w:t>r</w:t>
            </w:r>
          </w:p>
          <w:p w14:paraId="2134B067" w14:textId="3DE0AB8C" w:rsidR="008E5D98" w:rsidRPr="009C6451" w:rsidRDefault="008E5D98" w:rsidP="009C6451">
            <w:pPr>
              <w:pStyle w:val="Header"/>
              <w:numPr>
                <w:ilvl w:val="0"/>
                <w:numId w:val="5"/>
              </w:numPr>
              <w:tabs>
                <w:tab w:val="left" w:pos="8712"/>
              </w:tabs>
              <w:ind w:right="-18"/>
              <w:rPr>
                <w:sz w:val="24"/>
                <w:szCs w:val="24"/>
              </w:rPr>
            </w:pPr>
            <w:r w:rsidRPr="009C6451">
              <w:rPr>
                <w:rFonts w:cstheme="minorHAnsi"/>
              </w:rPr>
              <w:t xml:space="preserve">Andrew Munro, Head of Audit, Scottish Parliament </w:t>
            </w:r>
          </w:p>
        </w:tc>
      </w:tr>
      <w:tr w:rsidR="009004F8" w:rsidRPr="009004F8" w14:paraId="5725101B" w14:textId="77777777" w:rsidTr="007B136E">
        <w:tc>
          <w:tcPr>
            <w:tcW w:w="113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A9F02E7" w14:textId="77777777" w:rsidR="00D8287E" w:rsidRPr="009004F8" w:rsidRDefault="00D8287E" w:rsidP="00F918FA">
            <w:pPr>
              <w:jc w:val="center"/>
              <w:rPr>
                <w:b/>
                <w:sz w:val="24"/>
                <w:szCs w:val="24"/>
              </w:rPr>
            </w:pPr>
            <w:r w:rsidRPr="009004F8">
              <w:rPr>
                <w:b/>
                <w:sz w:val="24"/>
                <w:szCs w:val="24"/>
              </w:rPr>
              <w:t>ITEM</w:t>
            </w:r>
          </w:p>
        </w:tc>
        <w:tc>
          <w:tcPr>
            <w:tcW w:w="819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13F4D54" w14:textId="77777777" w:rsidR="00D8287E" w:rsidRPr="009004F8" w:rsidRDefault="00D8287E" w:rsidP="00F918FA">
            <w:pPr>
              <w:rPr>
                <w:b/>
                <w:sz w:val="24"/>
                <w:szCs w:val="24"/>
              </w:rPr>
            </w:pPr>
            <w:r w:rsidRPr="009004F8">
              <w:rPr>
                <w:b/>
                <w:sz w:val="24"/>
                <w:szCs w:val="24"/>
              </w:rPr>
              <w:t>CONTENT</w:t>
            </w:r>
          </w:p>
        </w:tc>
        <w:tc>
          <w:tcPr>
            <w:tcW w:w="124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486818F" w14:textId="77777777" w:rsidR="00D8287E" w:rsidRPr="009004F8" w:rsidRDefault="00D8287E" w:rsidP="00F918FA">
            <w:pPr>
              <w:jc w:val="center"/>
              <w:rPr>
                <w:b/>
                <w:sz w:val="24"/>
                <w:szCs w:val="24"/>
              </w:rPr>
            </w:pPr>
            <w:r w:rsidRPr="009004F8">
              <w:rPr>
                <w:b/>
                <w:sz w:val="24"/>
                <w:szCs w:val="24"/>
              </w:rPr>
              <w:t>ACTION</w:t>
            </w:r>
          </w:p>
        </w:tc>
      </w:tr>
      <w:tr w:rsidR="00D8287E" w14:paraId="2EF367A7" w14:textId="77777777"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E7CEC0" w14:textId="77777777" w:rsidR="00D8287E" w:rsidRDefault="00D8287E" w:rsidP="00F918FA">
            <w:pPr>
              <w:rPr>
                <w:b/>
                <w:sz w:val="24"/>
                <w:szCs w:val="24"/>
              </w:rPr>
            </w:pPr>
            <w:r>
              <w:rPr>
                <w:b/>
                <w:sz w:val="24"/>
                <w:szCs w:val="24"/>
              </w:rPr>
              <w:t>STANDING ITEMS</w:t>
            </w:r>
          </w:p>
        </w:tc>
      </w:tr>
      <w:tr w:rsidR="003A0A9D" w14:paraId="4B59D759" w14:textId="77777777" w:rsidTr="007B136E">
        <w:tc>
          <w:tcPr>
            <w:tcW w:w="1131" w:type="dxa"/>
            <w:tcBorders>
              <w:top w:val="single" w:sz="4" w:space="0" w:color="auto"/>
              <w:left w:val="single" w:sz="4" w:space="0" w:color="auto"/>
              <w:bottom w:val="single" w:sz="4" w:space="0" w:color="auto"/>
              <w:right w:val="single" w:sz="4" w:space="0" w:color="auto"/>
            </w:tcBorders>
          </w:tcPr>
          <w:p w14:paraId="4ADC4B95" w14:textId="77777777" w:rsidR="003A0A9D" w:rsidRPr="00567B64" w:rsidRDefault="003A0A9D" w:rsidP="003A0A9D">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14:paraId="004C6BC6" w14:textId="77777777"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14:paraId="08205E4A" w14:textId="77777777" w:rsidR="009C6451" w:rsidRDefault="008C4B0B" w:rsidP="00A413EC">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Mr</w:t>
            </w:r>
            <w:r w:rsidR="00863B45">
              <w:rPr>
                <w:rFonts w:asciiTheme="minorHAnsi" w:hAnsiTheme="minorHAnsi" w:cstheme="minorHAnsi"/>
                <w:b w:val="0"/>
                <w:sz w:val="22"/>
                <w:szCs w:val="22"/>
              </w:rPr>
              <w:t xml:space="preserve"> McCormick </w:t>
            </w:r>
            <w:r w:rsidR="00D44FD7" w:rsidRPr="00567B64">
              <w:rPr>
                <w:rFonts w:asciiTheme="minorHAnsi" w:hAnsiTheme="minorHAnsi" w:cstheme="minorHAnsi"/>
                <w:b w:val="0"/>
                <w:sz w:val="22"/>
                <w:szCs w:val="22"/>
              </w:rPr>
              <w:t>welcomed</w:t>
            </w:r>
            <w:r w:rsidR="00D3293A" w:rsidRPr="00567B64">
              <w:rPr>
                <w:rFonts w:asciiTheme="minorHAnsi" w:hAnsiTheme="minorHAnsi" w:cstheme="minorHAnsi"/>
                <w:b w:val="0"/>
                <w:sz w:val="22"/>
                <w:szCs w:val="22"/>
              </w:rPr>
              <w:t xml:space="preserve"> </w:t>
            </w:r>
            <w:r w:rsidR="00510C9B">
              <w:rPr>
                <w:rFonts w:asciiTheme="minorHAnsi" w:hAnsiTheme="minorHAnsi" w:cstheme="minorHAnsi"/>
                <w:b w:val="0"/>
                <w:sz w:val="22"/>
                <w:szCs w:val="22"/>
              </w:rPr>
              <w:t xml:space="preserve">all </w:t>
            </w:r>
            <w:r w:rsidR="00D3293A" w:rsidRPr="00567B64">
              <w:rPr>
                <w:rFonts w:asciiTheme="minorHAnsi" w:hAnsiTheme="minorHAnsi" w:cstheme="minorHAnsi"/>
                <w:b w:val="0"/>
                <w:sz w:val="22"/>
                <w:szCs w:val="22"/>
              </w:rPr>
              <w:t>attendees</w:t>
            </w:r>
            <w:r w:rsidR="00FC3F82">
              <w:rPr>
                <w:rFonts w:asciiTheme="minorHAnsi" w:hAnsiTheme="minorHAnsi" w:cstheme="minorHAnsi"/>
                <w:b w:val="0"/>
                <w:sz w:val="22"/>
                <w:szCs w:val="22"/>
              </w:rPr>
              <w:t>.</w:t>
            </w:r>
          </w:p>
          <w:p w14:paraId="6481FFF8" w14:textId="77777777" w:rsidR="009C6451" w:rsidRDefault="009C6451" w:rsidP="00A413EC">
            <w:pPr>
              <w:pStyle w:val="Heading3"/>
              <w:jc w:val="left"/>
              <w:outlineLvl w:val="2"/>
              <w:rPr>
                <w:rFonts w:asciiTheme="minorHAnsi" w:hAnsiTheme="minorHAnsi" w:cstheme="minorHAnsi"/>
                <w:b w:val="0"/>
                <w:sz w:val="22"/>
                <w:szCs w:val="22"/>
              </w:rPr>
            </w:pPr>
          </w:p>
          <w:p w14:paraId="0ECF39D7" w14:textId="5CCDF6CD" w:rsidR="00D3293A" w:rsidRPr="00567B64" w:rsidRDefault="009C6451" w:rsidP="00A413EC">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A</w:t>
            </w:r>
            <w:r w:rsidR="00863B45">
              <w:rPr>
                <w:rFonts w:asciiTheme="minorHAnsi" w:hAnsiTheme="minorHAnsi" w:cstheme="minorHAnsi"/>
                <w:b w:val="0"/>
                <w:sz w:val="22"/>
                <w:szCs w:val="22"/>
              </w:rPr>
              <w:t>polog</w:t>
            </w:r>
            <w:r w:rsidR="0040099B">
              <w:rPr>
                <w:rFonts w:asciiTheme="minorHAnsi" w:hAnsiTheme="minorHAnsi" w:cstheme="minorHAnsi"/>
                <w:b w:val="0"/>
                <w:sz w:val="22"/>
                <w:szCs w:val="22"/>
              </w:rPr>
              <w:t xml:space="preserve">ies </w:t>
            </w:r>
            <w:r w:rsidR="00863B45">
              <w:rPr>
                <w:rFonts w:asciiTheme="minorHAnsi" w:hAnsiTheme="minorHAnsi" w:cstheme="minorHAnsi"/>
                <w:b w:val="0"/>
                <w:sz w:val="22"/>
                <w:szCs w:val="22"/>
              </w:rPr>
              <w:t>for absence</w:t>
            </w:r>
            <w:r w:rsidRPr="009C6451">
              <w:rPr>
                <w:rFonts w:asciiTheme="minorHAnsi" w:hAnsiTheme="minorHAnsi" w:cstheme="minorHAnsi"/>
                <w:b w:val="0"/>
                <w:sz w:val="22"/>
                <w:szCs w:val="22"/>
              </w:rPr>
              <w:t xml:space="preserve"> were rece</w:t>
            </w:r>
            <w:r>
              <w:rPr>
                <w:rFonts w:asciiTheme="minorHAnsi" w:hAnsiTheme="minorHAnsi" w:cstheme="minorHAnsi"/>
                <w:b w:val="0"/>
                <w:sz w:val="22"/>
                <w:szCs w:val="22"/>
              </w:rPr>
              <w:t>iv</w:t>
            </w:r>
            <w:r w:rsidRPr="009C6451">
              <w:rPr>
                <w:rFonts w:asciiTheme="minorHAnsi" w:hAnsiTheme="minorHAnsi" w:cstheme="minorHAnsi"/>
                <w:b w:val="0"/>
                <w:sz w:val="22"/>
                <w:szCs w:val="22"/>
              </w:rPr>
              <w:t>ed from Claire Gardiner, Senior Audit Manager, Audit Scotland</w:t>
            </w:r>
            <w:r w:rsidR="0040099B">
              <w:rPr>
                <w:rFonts w:asciiTheme="minorHAnsi" w:hAnsiTheme="minorHAnsi" w:cstheme="minorHAnsi"/>
                <w:b w:val="0"/>
                <w:sz w:val="22"/>
                <w:szCs w:val="22"/>
              </w:rPr>
              <w:t>.</w:t>
            </w:r>
            <w:r w:rsidR="00863B45">
              <w:rPr>
                <w:rFonts w:asciiTheme="minorHAnsi" w:hAnsiTheme="minorHAnsi" w:cstheme="minorHAnsi"/>
                <w:b w:val="0"/>
                <w:sz w:val="22"/>
                <w:szCs w:val="22"/>
              </w:rPr>
              <w:t xml:space="preserve"> </w:t>
            </w:r>
          </w:p>
          <w:p w14:paraId="3EEA9558" w14:textId="77777777" w:rsidR="00D3293A" w:rsidRPr="00567B64" w:rsidRDefault="00D3293A" w:rsidP="00A413EC"/>
          <w:p w14:paraId="48702791" w14:textId="77777777"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14:paraId="11AAC67C" w14:textId="77777777"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244" w:type="dxa"/>
            <w:tcBorders>
              <w:top w:val="single" w:sz="4" w:space="0" w:color="auto"/>
              <w:left w:val="single" w:sz="4" w:space="0" w:color="auto"/>
              <w:bottom w:val="single" w:sz="4" w:space="0" w:color="auto"/>
              <w:right w:val="single" w:sz="4" w:space="0" w:color="auto"/>
            </w:tcBorders>
          </w:tcPr>
          <w:p w14:paraId="5F8D5099" w14:textId="77777777" w:rsidR="003A0A9D" w:rsidRPr="004B469B" w:rsidRDefault="003A0A9D" w:rsidP="001B716A">
            <w:pPr>
              <w:jc w:val="center"/>
              <w:rPr>
                <w:rFonts w:cstheme="minorHAnsi"/>
                <w:b/>
                <w:highlight w:val="yellow"/>
              </w:rPr>
            </w:pPr>
          </w:p>
        </w:tc>
      </w:tr>
      <w:tr w:rsidR="003A0A9D" w14:paraId="78B98057" w14:textId="77777777" w:rsidTr="007B136E">
        <w:tc>
          <w:tcPr>
            <w:tcW w:w="1131" w:type="dxa"/>
            <w:tcBorders>
              <w:top w:val="single" w:sz="4" w:space="0" w:color="auto"/>
              <w:left w:val="single" w:sz="4" w:space="0" w:color="auto"/>
              <w:bottom w:val="single" w:sz="4" w:space="0" w:color="auto"/>
              <w:right w:val="single" w:sz="4" w:space="0" w:color="auto"/>
            </w:tcBorders>
          </w:tcPr>
          <w:p w14:paraId="50A73C09" w14:textId="77777777" w:rsidR="003A0A9D" w:rsidRPr="00D44FD7" w:rsidRDefault="003A0A9D" w:rsidP="003A0A9D">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14:paraId="3AB702C8" w14:textId="77777777" w:rsidR="003A0A9D" w:rsidRPr="00D44FD7" w:rsidRDefault="003A0A9D" w:rsidP="00A413EC">
            <w:pPr>
              <w:ind w:firstLine="11"/>
              <w:rPr>
                <w:rFonts w:cstheme="minorHAnsi"/>
                <w:b/>
              </w:rPr>
            </w:pPr>
            <w:r w:rsidRPr="00D44FD7">
              <w:rPr>
                <w:rFonts w:cstheme="minorHAnsi"/>
                <w:b/>
              </w:rPr>
              <w:t>DRAFT MINUTE OF PREVIOUS MEETING</w:t>
            </w:r>
          </w:p>
          <w:p w14:paraId="19F28082" w14:textId="67C4F5AD" w:rsidR="005A2832" w:rsidRPr="00D44FD7" w:rsidRDefault="005E2619" w:rsidP="00A413EC">
            <w:pPr>
              <w:jc w:val="both"/>
            </w:pPr>
            <w:r>
              <w:t>T</w:t>
            </w:r>
            <w:r w:rsidR="0021293B" w:rsidRPr="00D44FD7">
              <w:t>he d</w:t>
            </w:r>
            <w:r w:rsidR="003A0A9D" w:rsidRPr="00D44FD7">
              <w:t>ra</w:t>
            </w:r>
            <w:r w:rsidR="00D44FD7" w:rsidRPr="00D44FD7">
              <w:t xml:space="preserve">ft </w:t>
            </w:r>
            <w:r w:rsidR="002E6560">
              <w:t>minutes of</w:t>
            </w:r>
            <w:r w:rsidR="00D44FD7" w:rsidRPr="00D44FD7">
              <w:t xml:space="preserve"> the meeting </w:t>
            </w:r>
            <w:r w:rsidR="003A0A9D" w:rsidRPr="00D44FD7">
              <w:t xml:space="preserve">on </w:t>
            </w:r>
            <w:r w:rsidR="00BA147A">
              <w:t xml:space="preserve">19 </w:t>
            </w:r>
            <w:r w:rsidR="006C73E7">
              <w:t>July 20</w:t>
            </w:r>
            <w:r w:rsidR="004B2B04">
              <w:t>2</w:t>
            </w:r>
            <w:r w:rsidR="00BA147A">
              <w:t>1</w:t>
            </w:r>
            <w:r w:rsidR="00863B45">
              <w:t xml:space="preserve"> </w:t>
            </w:r>
            <w:r w:rsidR="002E6560">
              <w:t>were</w:t>
            </w:r>
            <w:r w:rsidR="00863B45">
              <w:t xml:space="preserve"> </w:t>
            </w:r>
            <w:r w:rsidR="006D1FF5" w:rsidRPr="00D44FD7">
              <w:t>approved</w:t>
            </w:r>
            <w:r w:rsidR="003A0A9D" w:rsidRPr="00D44FD7">
              <w:t>.</w:t>
            </w:r>
          </w:p>
          <w:p w14:paraId="0738CA81" w14:textId="77777777" w:rsidR="003A0A9D" w:rsidRPr="00D44FD7" w:rsidRDefault="005A2832" w:rsidP="00A413EC">
            <w:pPr>
              <w:jc w:val="both"/>
              <w:rPr>
                <w:rFonts w:cstheme="minorHAnsi"/>
              </w:rPr>
            </w:pPr>
            <w:r w:rsidRPr="00D44FD7">
              <w:rPr>
                <w:rFonts w:cstheme="minorHAnsi"/>
              </w:rPr>
              <w:t xml:space="preserve"> </w:t>
            </w:r>
          </w:p>
        </w:tc>
        <w:tc>
          <w:tcPr>
            <w:tcW w:w="1244" w:type="dxa"/>
            <w:tcBorders>
              <w:top w:val="single" w:sz="4" w:space="0" w:color="auto"/>
              <w:left w:val="single" w:sz="4" w:space="0" w:color="auto"/>
              <w:bottom w:val="single" w:sz="4" w:space="0" w:color="auto"/>
              <w:right w:val="single" w:sz="4" w:space="0" w:color="auto"/>
            </w:tcBorders>
          </w:tcPr>
          <w:p w14:paraId="28BD7116" w14:textId="77777777" w:rsidR="003A0A9D" w:rsidRDefault="003A0A9D" w:rsidP="001B716A">
            <w:pPr>
              <w:jc w:val="center"/>
              <w:rPr>
                <w:rFonts w:cstheme="minorHAnsi"/>
                <w:b/>
                <w:highlight w:val="yellow"/>
              </w:rPr>
            </w:pPr>
          </w:p>
          <w:p w14:paraId="06A811A4" w14:textId="77777777" w:rsidR="00D40F95" w:rsidRPr="004B469B" w:rsidRDefault="00D40F95" w:rsidP="001B716A">
            <w:pPr>
              <w:jc w:val="center"/>
              <w:rPr>
                <w:rFonts w:cstheme="minorHAnsi"/>
                <w:b/>
                <w:highlight w:val="yellow"/>
              </w:rPr>
            </w:pPr>
          </w:p>
        </w:tc>
      </w:tr>
      <w:tr w:rsidR="003A0A9D" w14:paraId="219ED490" w14:textId="77777777" w:rsidTr="00BA147A">
        <w:trPr>
          <w:trHeight w:val="787"/>
        </w:trPr>
        <w:tc>
          <w:tcPr>
            <w:tcW w:w="1131" w:type="dxa"/>
            <w:tcBorders>
              <w:top w:val="single" w:sz="4" w:space="0" w:color="auto"/>
              <w:left w:val="single" w:sz="4" w:space="0" w:color="auto"/>
              <w:bottom w:val="single" w:sz="4" w:space="0" w:color="auto"/>
              <w:right w:val="single" w:sz="4" w:space="0" w:color="auto"/>
            </w:tcBorders>
          </w:tcPr>
          <w:p w14:paraId="7F7D798B" w14:textId="77777777" w:rsidR="003A0A9D" w:rsidRPr="00D44FD7" w:rsidRDefault="003A0A9D" w:rsidP="003A0A9D">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14:paraId="0BACD817" w14:textId="77777777" w:rsidR="003A0A9D" w:rsidRPr="00D44FD7" w:rsidRDefault="003A0A9D" w:rsidP="00A413EC">
            <w:pPr>
              <w:rPr>
                <w:rFonts w:cstheme="minorHAnsi"/>
                <w:b/>
              </w:rPr>
            </w:pPr>
            <w:r w:rsidRPr="00D44FD7">
              <w:rPr>
                <w:rFonts w:cstheme="minorHAnsi"/>
                <w:b/>
              </w:rPr>
              <w:t>MATTERS ARISING</w:t>
            </w:r>
          </w:p>
          <w:p w14:paraId="6869AD5E" w14:textId="32E2D54A" w:rsidR="007B136E" w:rsidRDefault="00750881" w:rsidP="004B2B04">
            <w:pPr>
              <w:jc w:val="both"/>
            </w:pPr>
            <w:r w:rsidRPr="00750881">
              <w:t xml:space="preserve">The Committee noted </w:t>
            </w:r>
            <w:r w:rsidR="004B2B04">
              <w:t>th</w:t>
            </w:r>
            <w:r w:rsidR="00BA147A">
              <w:t>at</w:t>
            </w:r>
            <w:r w:rsidR="004B2B04">
              <w:t xml:space="preserve"> </w:t>
            </w:r>
            <w:r w:rsidR="00BA147A">
              <w:t>there were no</w:t>
            </w:r>
            <w:r w:rsidR="004B2B04">
              <w:t xml:space="preserve"> outstanding matter</w:t>
            </w:r>
            <w:r w:rsidR="00BA147A">
              <w:t>s.</w:t>
            </w:r>
            <w:r w:rsidR="009C6451">
              <w:t xml:space="preserve"> The Committee noted that </w:t>
            </w:r>
            <w:r w:rsidR="004324CE">
              <w:t xml:space="preserve">the </w:t>
            </w:r>
            <w:r w:rsidR="009C6451" w:rsidRPr="009C6451">
              <w:t>propos</w:t>
            </w:r>
            <w:r w:rsidR="004324CE">
              <w:t>al</w:t>
            </w:r>
            <w:r w:rsidR="009C6451" w:rsidRPr="009C6451">
              <w:t xml:space="preserve"> </w:t>
            </w:r>
            <w:r w:rsidR="004324CE">
              <w:t>that</w:t>
            </w:r>
            <w:r w:rsidR="009C6451" w:rsidRPr="009C6451">
              <w:t xml:space="preserve"> a ‘catch all’ type category </w:t>
            </w:r>
            <w:r w:rsidR="004324CE">
              <w:t xml:space="preserve">should be included </w:t>
            </w:r>
            <w:r w:rsidR="009C6451" w:rsidRPr="009C6451">
              <w:t xml:space="preserve">in </w:t>
            </w:r>
            <w:r w:rsidR="004324CE">
              <w:t>the Standards Commission’s Members’</w:t>
            </w:r>
            <w:r w:rsidR="009C6451" w:rsidRPr="009C6451">
              <w:t xml:space="preserve"> registers of interest</w:t>
            </w:r>
            <w:r w:rsidR="00A27BC0">
              <w:t>,</w:t>
            </w:r>
            <w:r w:rsidR="009C6451" w:rsidRPr="009C6451">
              <w:t xml:space="preserve"> requiring Members to record the interest of any close family members</w:t>
            </w:r>
            <w:r w:rsidR="00A27BC0">
              <w:t>,</w:t>
            </w:r>
            <w:r w:rsidR="004324CE">
              <w:t xml:space="preserve"> had been accepted by the Standards Commission. The category had also been included in both the revised Councillors’ and </w:t>
            </w:r>
            <w:r w:rsidR="009C6451" w:rsidRPr="009C6451">
              <w:t>Model Code</w:t>
            </w:r>
            <w:r w:rsidR="004324CE">
              <w:t>s</w:t>
            </w:r>
            <w:r w:rsidR="009C6451" w:rsidRPr="009C6451">
              <w:t xml:space="preserve"> of Conduct</w:t>
            </w:r>
            <w:r w:rsidR="004324CE">
              <w:t xml:space="preserve"> issued in December 2021.</w:t>
            </w:r>
          </w:p>
          <w:p w14:paraId="00EA90F3" w14:textId="5BFF338E" w:rsidR="004324CE" w:rsidRPr="00A413EC" w:rsidRDefault="004324CE" w:rsidP="004B2B04">
            <w:pPr>
              <w:jc w:val="both"/>
            </w:pPr>
          </w:p>
        </w:tc>
        <w:tc>
          <w:tcPr>
            <w:tcW w:w="1244" w:type="dxa"/>
            <w:tcBorders>
              <w:top w:val="single" w:sz="4" w:space="0" w:color="auto"/>
              <w:left w:val="single" w:sz="4" w:space="0" w:color="auto"/>
              <w:bottom w:val="single" w:sz="4" w:space="0" w:color="auto"/>
              <w:right w:val="single" w:sz="4" w:space="0" w:color="auto"/>
            </w:tcBorders>
          </w:tcPr>
          <w:p w14:paraId="41C75C4C" w14:textId="77777777" w:rsidR="00A55F9A" w:rsidRDefault="00A55F9A" w:rsidP="001B716A">
            <w:pPr>
              <w:jc w:val="center"/>
              <w:rPr>
                <w:rFonts w:cstheme="minorHAnsi"/>
                <w:b/>
                <w:highlight w:val="yellow"/>
              </w:rPr>
            </w:pPr>
          </w:p>
          <w:p w14:paraId="0159E15A" w14:textId="77777777" w:rsidR="004B2B04" w:rsidRDefault="004B2B04" w:rsidP="004B2B04">
            <w:pPr>
              <w:rPr>
                <w:rFonts w:cstheme="minorHAnsi"/>
                <w:b/>
                <w:highlight w:val="yellow"/>
              </w:rPr>
            </w:pPr>
          </w:p>
          <w:p w14:paraId="7026F556" w14:textId="77777777" w:rsidR="004B2B04" w:rsidRPr="004B469B" w:rsidRDefault="004B2B04" w:rsidP="004B2B04">
            <w:pPr>
              <w:rPr>
                <w:rFonts w:cstheme="minorHAnsi"/>
                <w:b/>
                <w:highlight w:val="yellow"/>
              </w:rPr>
            </w:pPr>
          </w:p>
        </w:tc>
      </w:tr>
      <w:tr w:rsidR="00EB5179" w:rsidRPr="003F36E4" w14:paraId="64B9EF83" w14:textId="77777777"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4D621D" w14:textId="77777777" w:rsidR="00EB5179" w:rsidRPr="004B469B" w:rsidRDefault="001B716A" w:rsidP="00B62F09">
            <w:pPr>
              <w:rPr>
                <w:rFonts w:cstheme="minorHAnsi"/>
                <w:b/>
                <w:highlight w:val="yellow"/>
              </w:rPr>
            </w:pPr>
            <w:r w:rsidRPr="00214C83">
              <w:rPr>
                <w:rFonts w:cstheme="minorHAnsi"/>
                <w:b/>
                <w:sz w:val="24"/>
              </w:rPr>
              <w:t>EXTERNAL AUDIT</w:t>
            </w:r>
            <w:r>
              <w:rPr>
                <w:rFonts w:cstheme="minorHAnsi"/>
                <w:b/>
                <w:sz w:val="24"/>
              </w:rPr>
              <w:t xml:space="preserve">: </w:t>
            </w:r>
            <w:r>
              <w:rPr>
                <w:rFonts w:cstheme="minorHAnsi"/>
                <w:b/>
              </w:rPr>
              <w:t xml:space="preserve"> </w:t>
            </w:r>
            <w:r w:rsidRPr="00214C83">
              <w:rPr>
                <w:rFonts w:cstheme="minorHAnsi"/>
                <w:b/>
                <w:sz w:val="24"/>
              </w:rPr>
              <w:t>STANDARDS COMMISSION</w:t>
            </w:r>
            <w:r>
              <w:rPr>
                <w:rFonts w:cstheme="minorHAnsi"/>
                <w:b/>
                <w:sz w:val="24"/>
              </w:rPr>
              <w:t xml:space="preserve"> - </w:t>
            </w:r>
            <w:r w:rsidRPr="00214C83">
              <w:rPr>
                <w:rFonts w:cstheme="minorHAnsi"/>
                <w:b/>
                <w:sz w:val="24"/>
              </w:rPr>
              <w:t>ANNUAL A</w:t>
            </w:r>
            <w:r w:rsidR="003C6D5F">
              <w:rPr>
                <w:rFonts w:cstheme="minorHAnsi"/>
                <w:b/>
                <w:sz w:val="24"/>
              </w:rPr>
              <w:t xml:space="preserve">UDIT PLAN AND FEE </w:t>
            </w:r>
            <w:r w:rsidR="004B2B04">
              <w:rPr>
                <w:rFonts w:cstheme="minorHAnsi"/>
                <w:b/>
                <w:sz w:val="24"/>
              </w:rPr>
              <w:t>2020/21</w:t>
            </w:r>
          </w:p>
        </w:tc>
      </w:tr>
      <w:tr w:rsidR="00EB5179" w14:paraId="6166969D" w14:textId="77777777" w:rsidTr="007B136E">
        <w:tc>
          <w:tcPr>
            <w:tcW w:w="1131" w:type="dxa"/>
            <w:tcBorders>
              <w:top w:val="single" w:sz="4" w:space="0" w:color="auto"/>
              <w:left w:val="single" w:sz="4" w:space="0" w:color="auto"/>
              <w:bottom w:val="single" w:sz="4" w:space="0" w:color="auto"/>
              <w:right w:val="single" w:sz="4" w:space="0" w:color="auto"/>
            </w:tcBorders>
          </w:tcPr>
          <w:p w14:paraId="4C2673E5" w14:textId="77777777" w:rsidR="00EB5179" w:rsidRPr="001B716A" w:rsidRDefault="00EB5179" w:rsidP="001B716A">
            <w:pPr>
              <w:pStyle w:val="ListParagraph"/>
              <w:numPr>
                <w:ilvl w:val="0"/>
                <w:numId w:val="10"/>
              </w:numPr>
              <w:rPr>
                <w:rFonts w:cstheme="minorHAnsi"/>
              </w:rPr>
            </w:pPr>
          </w:p>
        </w:tc>
        <w:tc>
          <w:tcPr>
            <w:tcW w:w="8191" w:type="dxa"/>
            <w:gridSpan w:val="2"/>
            <w:tcBorders>
              <w:top w:val="single" w:sz="4" w:space="0" w:color="auto"/>
              <w:left w:val="single" w:sz="4" w:space="0" w:color="auto"/>
              <w:bottom w:val="single" w:sz="4" w:space="0" w:color="auto"/>
              <w:right w:val="single" w:sz="4" w:space="0" w:color="auto"/>
            </w:tcBorders>
          </w:tcPr>
          <w:p w14:paraId="7A38E2F7" w14:textId="25E35385" w:rsidR="009F03E2" w:rsidRPr="00493D01" w:rsidRDefault="009F03E2" w:rsidP="002E6560">
            <w:pPr>
              <w:jc w:val="both"/>
              <w:rPr>
                <w:rFonts w:cstheme="minorHAnsi"/>
              </w:rPr>
            </w:pPr>
            <w:r w:rsidRPr="00493D01">
              <w:rPr>
                <w:rFonts w:cstheme="minorHAnsi"/>
              </w:rPr>
              <w:t>The Committee noted and agreed the proposed annual audit fee</w:t>
            </w:r>
            <w:r w:rsidR="004324CE">
              <w:rPr>
                <w:rFonts w:cstheme="minorHAnsi"/>
              </w:rPr>
              <w:t>, which had increased in line with inflation</w:t>
            </w:r>
            <w:r w:rsidRPr="00493D01">
              <w:rPr>
                <w:rFonts w:cstheme="minorHAnsi"/>
              </w:rPr>
              <w:t>.</w:t>
            </w:r>
          </w:p>
          <w:p w14:paraId="73682892" w14:textId="77777777" w:rsidR="009F03E2" w:rsidRPr="00493D01" w:rsidRDefault="009F03E2" w:rsidP="002E6560">
            <w:pPr>
              <w:jc w:val="both"/>
              <w:rPr>
                <w:rFonts w:cstheme="minorHAnsi"/>
              </w:rPr>
            </w:pPr>
          </w:p>
          <w:p w14:paraId="71433DE6" w14:textId="77777777" w:rsidR="00493D01" w:rsidRDefault="009C6451" w:rsidP="009C6451">
            <w:pPr>
              <w:jc w:val="both"/>
              <w:rPr>
                <w:rFonts w:cstheme="minorHAnsi"/>
              </w:rPr>
            </w:pPr>
            <w:r w:rsidRPr="009C6451">
              <w:rPr>
                <w:rFonts w:cstheme="minorHAnsi"/>
              </w:rPr>
              <w:t xml:space="preserve">The Committee noted that </w:t>
            </w:r>
            <w:r w:rsidR="009F03E2" w:rsidRPr="009C6451">
              <w:rPr>
                <w:rFonts w:cstheme="minorHAnsi"/>
              </w:rPr>
              <w:t>Mrs Gardiner</w:t>
            </w:r>
            <w:r w:rsidRPr="009C6451">
              <w:rPr>
                <w:rFonts w:cstheme="minorHAnsi"/>
              </w:rPr>
              <w:t xml:space="preserve"> had</w:t>
            </w:r>
            <w:r w:rsidR="009F03E2" w:rsidRPr="009C6451">
              <w:rPr>
                <w:rFonts w:cstheme="minorHAnsi"/>
              </w:rPr>
              <w:t xml:space="preserve"> explained</w:t>
            </w:r>
            <w:r w:rsidRPr="009C6451">
              <w:rPr>
                <w:rFonts w:cstheme="minorHAnsi"/>
              </w:rPr>
              <w:t>, by email,</w:t>
            </w:r>
            <w:r w:rsidR="009F03E2" w:rsidRPr="009C6451">
              <w:rPr>
                <w:rFonts w:cstheme="minorHAnsi"/>
              </w:rPr>
              <w:t xml:space="preserve"> that the ongoing coronavirus pandemic had mean</w:t>
            </w:r>
            <w:r w:rsidR="000205DE">
              <w:rPr>
                <w:rFonts w:cstheme="minorHAnsi"/>
              </w:rPr>
              <w:t>t</w:t>
            </w:r>
            <w:r w:rsidR="009F03E2" w:rsidRPr="009C6451">
              <w:rPr>
                <w:rFonts w:cstheme="minorHAnsi"/>
              </w:rPr>
              <w:t xml:space="preserve"> that some </w:t>
            </w:r>
            <w:r w:rsidR="00BB20EE" w:rsidRPr="009C6451">
              <w:rPr>
                <w:rFonts w:cstheme="minorHAnsi"/>
              </w:rPr>
              <w:t>20</w:t>
            </w:r>
            <w:r w:rsidR="00BB20EE">
              <w:rPr>
                <w:rFonts w:cstheme="minorHAnsi"/>
              </w:rPr>
              <w:t>20</w:t>
            </w:r>
            <w:r w:rsidR="009F03E2" w:rsidRPr="009C6451">
              <w:rPr>
                <w:rFonts w:cstheme="minorHAnsi"/>
              </w:rPr>
              <w:t>/</w:t>
            </w:r>
            <w:r w:rsidR="00BB20EE" w:rsidRPr="009C6451">
              <w:rPr>
                <w:rFonts w:cstheme="minorHAnsi"/>
              </w:rPr>
              <w:t>2</w:t>
            </w:r>
            <w:r w:rsidR="00BB20EE">
              <w:rPr>
                <w:rFonts w:cstheme="minorHAnsi"/>
              </w:rPr>
              <w:t xml:space="preserve">1 </w:t>
            </w:r>
            <w:r w:rsidR="009F03E2" w:rsidRPr="009C6451">
              <w:rPr>
                <w:rFonts w:cstheme="minorHAnsi"/>
              </w:rPr>
              <w:t xml:space="preserve">audits had been delayed. This had led, as a result, to delays in planning for the </w:t>
            </w:r>
            <w:r w:rsidR="00BB20EE" w:rsidRPr="009C6451">
              <w:rPr>
                <w:rFonts w:cstheme="minorHAnsi"/>
              </w:rPr>
              <w:t>202</w:t>
            </w:r>
            <w:r w:rsidR="00BB20EE">
              <w:rPr>
                <w:rFonts w:cstheme="minorHAnsi"/>
              </w:rPr>
              <w:t>1</w:t>
            </w:r>
            <w:r w:rsidR="009F03E2" w:rsidRPr="009C6451">
              <w:rPr>
                <w:rFonts w:cstheme="minorHAnsi"/>
              </w:rPr>
              <w:t>/</w:t>
            </w:r>
            <w:r w:rsidR="00BB20EE" w:rsidRPr="009C6451">
              <w:rPr>
                <w:rFonts w:cstheme="minorHAnsi"/>
              </w:rPr>
              <w:t>2</w:t>
            </w:r>
            <w:r w:rsidR="00BB20EE">
              <w:rPr>
                <w:rFonts w:cstheme="minorHAnsi"/>
              </w:rPr>
              <w:t>2</w:t>
            </w:r>
            <w:r w:rsidR="00BB20EE" w:rsidRPr="009C6451">
              <w:rPr>
                <w:rFonts w:cstheme="minorHAnsi"/>
              </w:rPr>
              <w:t xml:space="preserve"> </w:t>
            </w:r>
            <w:r w:rsidR="009F03E2" w:rsidRPr="009C6451">
              <w:rPr>
                <w:rFonts w:cstheme="minorHAnsi"/>
              </w:rPr>
              <w:t>audits. Mrs Gardiner a</w:t>
            </w:r>
            <w:r w:rsidR="003B084D" w:rsidRPr="009C6451">
              <w:rPr>
                <w:rFonts w:cstheme="minorHAnsi"/>
              </w:rPr>
              <w:t>d</w:t>
            </w:r>
            <w:r w:rsidR="009F03E2" w:rsidRPr="009C6451">
              <w:rPr>
                <w:rFonts w:cstheme="minorHAnsi"/>
              </w:rPr>
              <w:t xml:space="preserve">vised that the audit timeline had, therefore, been amended and that audit plan would now be issued in March </w:t>
            </w:r>
            <w:r w:rsidR="00BB20EE" w:rsidRPr="009C6451">
              <w:rPr>
                <w:rFonts w:cstheme="minorHAnsi"/>
              </w:rPr>
              <w:t>202</w:t>
            </w:r>
            <w:r w:rsidR="00BB20EE">
              <w:rPr>
                <w:rFonts w:cstheme="minorHAnsi"/>
              </w:rPr>
              <w:t>2</w:t>
            </w:r>
            <w:r w:rsidR="003B084D" w:rsidRPr="009C6451">
              <w:rPr>
                <w:rFonts w:cstheme="minorHAnsi"/>
              </w:rPr>
              <w:t xml:space="preserve">. </w:t>
            </w:r>
            <w:r w:rsidRPr="009C6451">
              <w:rPr>
                <w:rFonts w:cstheme="minorHAnsi"/>
              </w:rPr>
              <w:t>The Committee noted that it was not anticipated that this would lead to any delay in the signing-off of the Standards Commission’s annual accounts.</w:t>
            </w:r>
          </w:p>
          <w:p w14:paraId="10978EE4" w14:textId="1B4CED95" w:rsidR="00BB20EE" w:rsidRPr="00493D01" w:rsidRDefault="00BB20EE" w:rsidP="009C6451">
            <w:pPr>
              <w:jc w:val="both"/>
              <w:rPr>
                <w:rFonts w:cstheme="minorHAnsi"/>
              </w:rPr>
            </w:pPr>
          </w:p>
        </w:tc>
        <w:tc>
          <w:tcPr>
            <w:tcW w:w="1244" w:type="dxa"/>
            <w:tcBorders>
              <w:top w:val="single" w:sz="4" w:space="0" w:color="auto"/>
              <w:left w:val="single" w:sz="4" w:space="0" w:color="auto"/>
              <w:bottom w:val="single" w:sz="4" w:space="0" w:color="auto"/>
              <w:right w:val="single" w:sz="4" w:space="0" w:color="auto"/>
            </w:tcBorders>
          </w:tcPr>
          <w:p w14:paraId="215178BA" w14:textId="77777777" w:rsidR="00FC3F82" w:rsidRPr="00750881" w:rsidRDefault="00FC3F82" w:rsidP="001B716A">
            <w:pPr>
              <w:pStyle w:val="ListParagraph"/>
              <w:ind w:left="360"/>
              <w:rPr>
                <w:rFonts w:cstheme="minorHAnsi"/>
              </w:rPr>
            </w:pPr>
          </w:p>
          <w:p w14:paraId="4D913E61" w14:textId="77777777" w:rsidR="00331D1A" w:rsidRPr="00750881" w:rsidRDefault="00331D1A" w:rsidP="001B716A">
            <w:pPr>
              <w:rPr>
                <w:rFonts w:cstheme="minorHAnsi"/>
              </w:rPr>
            </w:pPr>
          </w:p>
          <w:p w14:paraId="5812DBAA" w14:textId="77777777" w:rsidR="00331D1A" w:rsidRPr="00750881" w:rsidRDefault="00331D1A" w:rsidP="001B716A">
            <w:pPr>
              <w:rPr>
                <w:rFonts w:cstheme="minorHAnsi"/>
              </w:rPr>
            </w:pPr>
          </w:p>
          <w:p w14:paraId="6681ED16" w14:textId="77777777" w:rsidR="00331D1A" w:rsidRPr="00750881" w:rsidRDefault="00331D1A" w:rsidP="001B716A">
            <w:pPr>
              <w:rPr>
                <w:rFonts w:cstheme="minorHAnsi"/>
              </w:rPr>
            </w:pPr>
          </w:p>
          <w:p w14:paraId="369BA3F1" w14:textId="77777777" w:rsidR="00FB69DB" w:rsidRDefault="00FB69DB" w:rsidP="001B716A">
            <w:pPr>
              <w:rPr>
                <w:rFonts w:cstheme="minorHAnsi"/>
              </w:rPr>
            </w:pPr>
          </w:p>
          <w:p w14:paraId="0BED2374" w14:textId="77777777" w:rsidR="00FB69DB" w:rsidRDefault="00FB69DB" w:rsidP="001B716A">
            <w:pPr>
              <w:rPr>
                <w:rFonts w:cstheme="minorHAnsi"/>
              </w:rPr>
            </w:pPr>
          </w:p>
          <w:p w14:paraId="2375D6E2" w14:textId="77777777" w:rsidR="00FB69DB" w:rsidRPr="00750881" w:rsidRDefault="00FB69DB" w:rsidP="001B716A">
            <w:pPr>
              <w:rPr>
                <w:rFonts w:cstheme="minorHAnsi"/>
              </w:rPr>
            </w:pPr>
          </w:p>
          <w:p w14:paraId="7AC16959" w14:textId="77777777" w:rsidR="00750881" w:rsidRPr="00750881" w:rsidRDefault="00750881" w:rsidP="001B716A">
            <w:pPr>
              <w:rPr>
                <w:rFonts w:cstheme="minorHAnsi"/>
              </w:rPr>
            </w:pPr>
          </w:p>
          <w:p w14:paraId="68F385F2" w14:textId="77777777" w:rsidR="00331D1A" w:rsidRPr="00750881" w:rsidRDefault="00331D1A" w:rsidP="001B716A">
            <w:pPr>
              <w:rPr>
                <w:rFonts w:cstheme="minorHAnsi"/>
                <w:b/>
              </w:rPr>
            </w:pPr>
          </w:p>
        </w:tc>
      </w:tr>
      <w:tr w:rsidR="003275A5" w14:paraId="00590D3F" w14:textId="77777777"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ACEEFC" w14:textId="68DCAFDF" w:rsidR="003275A5" w:rsidRPr="001B716A" w:rsidRDefault="001B716A" w:rsidP="001B716A">
            <w:pPr>
              <w:rPr>
                <w:rFonts w:cstheme="minorHAnsi"/>
              </w:rPr>
            </w:pPr>
            <w:r w:rsidRPr="003275A5">
              <w:rPr>
                <w:rFonts w:cstheme="minorHAnsi"/>
                <w:b/>
                <w:sz w:val="24"/>
              </w:rPr>
              <w:t>INTERNAL AUDIT</w:t>
            </w:r>
            <w:r>
              <w:rPr>
                <w:rFonts w:cstheme="minorHAnsi"/>
                <w:b/>
                <w:sz w:val="24"/>
              </w:rPr>
              <w:t xml:space="preserve"> PLANNED ACTIVITIES </w:t>
            </w:r>
            <w:r w:rsidR="004B2B04">
              <w:rPr>
                <w:rFonts w:cstheme="minorHAnsi"/>
                <w:b/>
                <w:sz w:val="24"/>
              </w:rPr>
              <w:t>20</w:t>
            </w:r>
            <w:r w:rsidR="00180E6F">
              <w:rPr>
                <w:rFonts w:cstheme="minorHAnsi"/>
                <w:b/>
                <w:sz w:val="24"/>
              </w:rPr>
              <w:t>22</w:t>
            </w:r>
            <w:r w:rsidR="004B2B04">
              <w:rPr>
                <w:rFonts w:cstheme="minorHAnsi"/>
                <w:b/>
                <w:sz w:val="24"/>
              </w:rPr>
              <w:t>/2</w:t>
            </w:r>
            <w:r w:rsidR="00180E6F">
              <w:rPr>
                <w:rFonts w:cstheme="minorHAnsi"/>
                <w:b/>
                <w:sz w:val="24"/>
              </w:rPr>
              <w:t>3</w:t>
            </w:r>
          </w:p>
        </w:tc>
      </w:tr>
      <w:tr w:rsidR="005C7931" w14:paraId="346FB841" w14:textId="77777777" w:rsidTr="007B136E">
        <w:tc>
          <w:tcPr>
            <w:tcW w:w="1131" w:type="dxa"/>
            <w:tcBorders>
              <w:top w:val="single" w:sz="4" w:space="0" w:color="auto"/>
              <w:left w:val="single" w:sz="4" w:space="0" w:color="auto"/>
              <w:bottom w:val="single" w:sz="4" w:space="0" w:color="auto"/>
              <w:right w:val="single" w:sz="4" w:space="0" w:color="auto"/>
            </w:tcBorders>
          </w:tcPr>
          <w:p w14:paraId="735DD93D" w14:textId="77777777" w:rsidR="005C7931" w:rsidRPr="00623794" w:rsidRDefault="005C7931" w:rsidP="001B716A">
            <w:pPr>
              <w:pStyle w:val="ListParagraph"/>
              <w:numPr>
                <w:ilvl w:val="0"/>
                <w:numId w:val="26"/>
              </w:numPr>
            </w:pPr>
          </w:p>
        </w:tc>
        <w:tc>
          <w:tcPr>
            <w:tcW w:w="8191" w:type="dxa"/>
            <w:gridSpan w:val="2"/>
            <w:tcBorders>
              <w:top w:val="single" w:sz="4" w:space="0" w:color="auto"/>
              <w:left w:val="single" w:sz="4" w:space="0" w:color="auto"/>
              <w:bottom w:val="single" w:sz="4" w:space="0" w:color="auto"/>
              <w:right w:val="single" w:sz="4" w:space="0" w:color="auto"/>
            </w:tcBorders>
          </w:tcPr>
          <w:p w14:paraId="7263F192" w14:textId="15D7E79E" w:rsidR="001B716A" w:rsidRPr="001B716A" w:rsidRDefault="00A413EC" w:rsidP="00043F0A">
            <w:pPr>
              <w:jc w:val="both"/>
              <w:rPr>
                <w:rFonts w:cstheme="minorHAnsi"/>
                <w:b/>
              </w:rPr>
            </w:pPr>
            <w:r>
              <w:rPr>
                <w:rFonts w:cstheme="minorHAnsi"/>
                <w:b/>
              </w:rPr>
              <w:t>Internal Audit Plan 202</w:t>
            </w:r>
            <w:r w:rsidR="00180E6F">
              <w:rPr>
                <w:rFonts w:cstheme="minorHAnsi"/>
                <w:b/>
              </w:rPr>
              <w:t>2</w:t>
            </w:r>
            <w:r>
              <w:rPr>
                <w:rFonts w:cstheme="minorHAnsi"/>
                <w:b/>
              </w:rPr>
              <w:t>/2</w:t>
            </w:r>
            <w:r w:rsidR="00180E6F">
              <w:rPr>
                <w:rFonts w:cstheme="minorHAnsi"/>
                <w:b/>
              </w:rPr>
              <w:t>3</w:t>
            </w:r>
          </w:p>
          <w:p w14:paraId="085FC262" w14:textId="44880180" w:rsidR="00371726" w:rsidRDefault="00493D01" w:rsidP="00043F0A">
            <w:pPr>
              <w:pStyle w:val="ListParagraph"/>
              <w:ind w:left="3" w:hanging="3"/>
              <w:jc w:val="both"/>
            </w:pPr>
            <w:r>
              <w:t>T</w:t>
            </w:r>
            <w:r w:rsidR="00750881" w:rsidRPr="00FB69DB">
              <w:t xml:space="preserve">he </w:t>
            </w:r>
            <w:r w:rsidR="00CB3370" w:rsidRPr="00FB69DB">
              <w:t>Internal Auditor</w:t>
            </w:r>
            <w:r>
              <w:t xml:space="preserve"> </w:t>
            </w:r>
            <w:r w:rsidR="00180E6F">
              <w:t>advised</w:t>
            </w:r>
            <w:r w:rsidR="004324CE">
              <w:t xml:space="preserve"> that, following discussions with the Executive Director and Office Manager, he proposed the focus of the internal audit should be on the Standards Commission’s governance arrangements. The Internal Auditor noted that, in light of the findings as outlined in Audit Scotland’s Section 22 report on the Ethical Standards Commissioner, published in December 2021, it was likely the Scottish Parliamentary </w:t>
            </w:r>
            <w:r w:rsidR="004324CE">
              <w:lastRenderedPageBreak/>
              <w:t>Corporate Body would be seeking assurances from other officeholders about the strength and resilience of their own arrangements. The Internal Auditor suggested that</w:t>
            </w:r>
            <w:r w:rsidR="000C3610">
              <w:t xml:space="preserve">, as part of a review of the scrutiny arrangements, </w:t>
            </w:r>
            <w:r w:rsidR="004324CE">
              <w:t xml:space="preserve">the audit </w:t>
            </w:r>
            <w:r w:rsidR="000C3610">
              <w:t>would cover</w:t>
            </w:r>
            <w:r w:rsidR="004324CE">
              <w:t xml:space="preserve"> how Members and staff of the Standards </w:t>
            </w:r>
            <w:r w:rsidR="000C3610">
              <w:t>C</w:t>
            </w:r>
            <w:r w:rsidR="004324CE">
              <w:t>ommission exchanged information</w:t>
            </w:r>
            <w:r w:rsidR="000C3610">
              <w:t xml:space="preserve"> and</w:t>
            </w:r>
            <w:r w:rsidR="004324CE">
              <w:t xml:space="preserve"> how Members’ time was </w:t>
            </w:r>
            <w:r w:rsidR="000C3610">
              <w:t>recorded and monitored. The Committee agreed with the proposal and noted that the audit would not only ensure the Standards Commission was prepared to respond to any requests for assurance, but would also ensure it identified any improvements that could be made to ensure best practice was achieved.</w:t>
            </w:r>
          </w:p>
          <w:p w14:paraId="30AE5202" w14:textId="2A8CEDA5" w:rsidR="000C3610" w:rsidRDefault="000C3610" w:rsidP="00043F0A">
            <w:pPr>
              <w:pStyle w:val="ListParagraph"/>
              <w:ind w:left="3" w:hanging="3"/>
              <w:jc w:val="both"/>
            </w:pPr>
          </w:p>
          <w:p w14:paraId="7B85A163" w14:textId="382A8138" w:rsidR="000C3610" w:rsidRDefault="000C3610" w:rsidP="00043F0A">
            <w:pPr>
              <w:pStyle w:val="ListParagraph"/>
              <w:ind w:left="3" w:hanging="3"/>
              <w:jc w:val="both"/>
            </w:pPr>
            <w:r>
              <w:t>The Internal Auditor advised that, following confirmation that the Standards Commission agreed with the proposal, he would prepare a scoping document for approval.</w:t>
            </w:r>
          </w:p>
          <w:p w14:paraId="08E19126" w14:textId="77777777" w:rsidR="00304D4D" w:rsidRPr="00EB5179" w:rsidRDefault="00304D4D" w:rsidP="00180E6F">
            <w:pPr>
              <w:pStyle w:val="ListParagraph"/>
              <w:ind w:left="3" w:hanging="3"/>
              <w:jc w:val="both"/>
              <w:rPr>
                <w:b/>
              </w:rPr>
            </w:pPr>
          </w:p>
        </w:tc>
        <w:tc>
          <w:tcPr>
            <w:tcW w:w="1244" w:type="dxa"/>
            <w:tcBorders>
              <w:top w:val="single" w:sz="4" w:space="0" w:color="auto"/>
              <w:left w:val="single" w:sz="4" w:space="0" w:color="auto"/>
              <w:bottom w:val="single" w:sz="4" w:space="0" w:color="auto"/>
              <w:right w:val="single" w:sz="4" w:space="0" w:color="auto"/>
            </w:tcBorders>
          </w:tcPr>
          <w:p w14:paraId="508A0624" w14:textId="77777777" w:rsidR="00493D01" w:rsidRDefault="00493D01" w:rsidP="001B716A">
            <w:pPr>
              <w:pStyle w:val="ListParagraph"/>
              <w:ind w:left="-96"/>
              <w:jc w:val="center"/>
              <w:rPr>
                <w:b/>
              </w:rPr>
            </w:pPr>
          </w:p>
          <w:p w14:paraId="5A1A7AC7" w14:textId="77777777" w:rsidR="00493D01" w:rsidRDefault="00493D01" w:rsidP="001B716A">
            <w:pPr>
              <w:pStyle w:val="ListParagraph"/>
              <w:ind w:left="-96"/>
              <w:jc w:val="center"/>
              <w:rPr>
                <w:b/>
              </w:rPr>
            </w:pPr>
          </w:p>
          <w:p w14:paraId="44E50D1E" w14:textId="51AC25BF" w:rsidR="00371726" w:rsidRDefault="00371726" w:rsidP="001B716A">
            <w:pPr>
              <w:pStyle w:val="ListParagraph"/>
              <w:ind w:left="-96"/>
              <w:jc w:val="center"/>
              <w:rPr>
                <w:b/>
              </w:rPr>
            </w:pPr>
          </w:p>
          <w:p w14:paraId="5430F983" w14:textId="75E0EA5B" w:rsidR="000C3610" w:rsidRDefault="000C3610" w:rsidP="001B716A">
            <w:pPr>
              <w:pStyle w:val="ListParagraph"/>
              <w:ind w:left="-96"/>
              <w:jc w:val="center"/>
              <w:rPr>
                <w:b/>
              </w:rPr>
            </w:pPr>
          </w:p>
          <w:p w14:paraId="508BA81C" w14:textId="18BD082D" w:rsidR="000C3610" w:rsidRDefault="000C3610" w:rsidP="001B716A">
            <w:pPr>
              <w:pStyle w:val="ListParagraph"/>
              <w:ind w:left="-96"/>
              <w:jc w:val="center"/>
              <w:rPr>
                <w:b/>
              </w:rPr>
            </w:pPr>
          </w:p>
          <w:p w14:paraId="26EF5D32" w14:textId="47D71F81" w:rsidR="000C3610" w:rsidRDefault="000C3610" w:rsidP="001B716A">
            <w:pPr>
              <w:pStyle w:val="ListParagraph"/>
              <w:ind w:left="-96"/>
              <w:jc w:val="center"/>
              <w:rPr>
                <w:b/>
              </w:rPr>
            </w:pPr>
          </w:p>
          <w:p w14:paraId="22E077A0" w14:textId="1859EDD9" w:rsidR="000C3610" w:rsidRDefault="000C3610" w:rsidP="001B716A">
            <w:pPr>
              <w:pStyle w:val="ListParagraph"/>
              <w:ind w:left="-96"/>
              <w:jc w:val="center"/>
              <w:rPr>
                <w:b/>
              </w:rPr>
            </w:pPr>
          </w:p>
          <w:p w14:paraId="4D066490" w14:textId="094CD423" w:rsidR="000C3610" w:rsidRDefault="000C3610" w:rsidP="001B716A">
            <w:pPr>
              <w:pStyle w:val="ListParagraph"/>
              <w:ind w:left="-96"/>
              <w:jc w:val="center"/>
              <w:rPr>
                <w:b/>
              </w:rPr>
            </w:pPr>
          </w:p>
          <w:p w14:paraId="637304CD" w14:textId="4E8C0E41" w:rsidR="000C3610" w:rsidRDefault="000C3610" w:rsidP="001B716A">
            <w:pPr>
              <w:pStyle w:val="ListParagraph"/>
              <w:ind w:left="-96"/>
              <w:jc w:val="center"/>
              <w:rPr>
                <w:b/>
              </w:rPr>
            </w:pPr>
          </w:p>
          <w:p w14:paraId="6E0BAF06" w14:textId="51466A19" w:rsidR="000C3610" w:rsidRDefault="000C3610" w:rsidP="001B716A">
            <w:pPr>
              <w:pStyle w:val="ListParagraph"/>
              <w:ind w:left="-96"/>
              <w:jc w:val="center"/>
              <w:rPr>
                <w:b/>
              </w:rPr>
            </w:pPr>
          </w:p>
          <w:p w14:paraId="156110BC" w14:textId="47CBB2FF" w:rsidR="000C3610" w:rsidRDefault="000C3610" w:rsidP="001B716A">
            <w:pPr>
              <w:pStyle w:val="ListParagraph"/>
              <w:ind w:left="-96"/>
              <w:jc w:val="center"/>
              <w:rPr>
                <w:b/>
              </w:rPr>
            </w:pPr>
          </w:p>
          <w:p w14:paraId="6C9EAB0A" w14:textId="1E1486A3" w:rsidR="000C3610" w:rsidRDefault="000C3610" w:rsidP="001B716A">
            <w:pPr>
              <w:pStyle w:val="ListParagraph"/>
              <w:ind w:left="-96"/>
              <w:jc w:val="center"/>
              <w:rPr>
                <w:b/>
              </w:rPr>
            </w:pPr>
          </w:p>
          <w:p w14:paraId="147DD330" w14:textId="3A1BA637" w:rsidR="000C3610" w:rsidRDefault="000C3610" w:rsidP="001B716A">
            <w:pPr>
              <w:pStyle w:val="ListParagraph"/>
              <w:ind w:left="-96"/>
              <w:jc w:val="center"/>
              <w:rPr>
                <w:b/>
              </w:rPr>
            </w:pPr>
          </w:p>
          <w:p w14:paraId="2AE0F0AC" w14:textId="0359419A" w:rsidR="000C3610" w:rsidRDefault="000C3610" w:rsidP="001B716A">
            <w:pPr>
              <w:pStyle w:val="ListParagraph"/>
              <w:ind w:left="-96"/>
              <w:jc w:val="center"/>
              <w:rPr>
                <w:b/>
              </w:rPr>
            </w:pPr>
            <w:r>
              <w:rPr>
                <w:b/>
              </w:rPr>
              <w:t>Chair / Internal Auditor</w:t>
            </w:r>
          </w:p>
          <w:p w14:paraId="22351629" w14:textId="77777777" w:rsidR="00371726" w:rsidRDefault="00371726" w:rsidP="001B716A">
            <w:pPr>
              <w:pStyle w:val="ListParagraph"/>
              <w:ind w:left="-96"/>
              <w:jc w:val="center"/>
              <w:rPr>
                <w:b/>
              </w:rPr>
            </w:pPr>
          </w:p>
          <w:p w14:paraId="36D56AD2" w14:textId="77777777" w:rsidR="00297284" w:rsidRDefault="00297284" w:rsidP="00180E6F">
            <w:pPr>
              <w:pStyle w:val="ListParagraph"/>
              <w:ind w:left="-96"/>
              <w:jc w:val="center"/>
            </w:pPr>
          </w:p>
        </w:tc>
      </w:tr>
      <w:tr w:rsidR="005C7931" w14:paraId="3C8B9875" w14:textId="77777777"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C77C5" w14:textId="33027FA0" w:rsidR="005C7931" w:rsidRDefault="0040099B" w:rsidP="00F93C4E">
            <w:pPr>
              <w:rPr>
                <w:b/>
                <w:sz w:val="24"/>
                <w:szCs w:val="24"/>
              </w:rPr>
            </w:pPr>
            <w:r>
              <w:rPr>
                <w:rFonts w:cstheme="minorHAnsi"/>
                <w:b/>
                <w:sz w:val="24"/>
              </w:rPr>
              <w:lastRenderedPageBreak/>
              <w:t xml:space="preserve">RISK REGISTER </w:t>
            </w:r>
            <w:r w:rsidR="004B2B04">
              <w:rPr>
                <w:rFonts w:cstheme="minorHAnsi"/>
                <w:b/>
                <w:sz w:val="24"/>
              </w:rPr>
              <w:t>202</w:t>
            </w:r>
            <w:r w:rsidR="00983CAB">
              <w:rPr>
                <w:rFonts w:cstheme="minorHAnsi"/>
                <w:b/>
                <w:sz w:val="24"/>
              </w:rPr>
              <w:t>1</w:t>
            </w:r>
            <w:r w:rsidR="004B2B04">
              <w:rPr>
                <w:rFonts w:cstheme="minorHAnsi"/>
                <w:b/>
                <w:sz w:val="24"/>
              </w:rPr>
              <w:t>/2</w:t>
            </w:r>
            <w:r w:rsidR="00983CAB">
              <w:rPr>
                <w:rFonts w:cstheme="minorHAnsi"/>
                <w:b/>
                <w:sz w:val="24"/>
              </w:rPr>
              <w:t>2</w:t>
            </w:r>
            <w:r w:rsidR="001B716A" w:rsidRPr="001B716A">
              <w:rPr>
                <w:rFonts w:cstheme="minorHAnsi"/>
                <w:b/>
                <w:sz w:val="24"/>
              </w:rPr>
              <w:t>: REVIEW</w:t>
            </w:r>
          </w:p>
        </w:tc>
      </w:tr>
      <w:tr w:rsidR="001B716A" w14:paraId="489498A4" w14:textId="77777777" w:rsidTr="007B136E">
        <w:tc>
          <w:tcPr>
            <w:tcW w:w="1131" w:type="dxa"/>
            <w:tcBorders>
              <w:top w:val="single" w:sz="4" w:space="0" w:color="auto"/>
              <w:left w:val="single" w:sz="4" w:space="0" w:color="auto"/>
              <w:bottom w:val="single" w:sz="4" w:space="0" w:color="auto"/>
              <w:right w:val="single" w:sz="4" w:space="0" w:color="auto"/>
            </w:tcBorders>
          </w:tcPr>
          <w:p w14:paraId="52649CD1" w14:textId="77777777" w:rsidR="001B716A" w:rsidRPr="00623794" w:rsidRDefault="001B716A" w:rsidP="001B716A">
            <w:pPr>
              <w:pStyle w:val="ListParagraph"/>
              <w:numPr>
                <w:ilvl w:val="0"/>
                <w:numId w:val="26"/>
              </w:numPr>
            </w:pPr>
          </w:p>
        </w:tc>
        <w:tc>
          <w:tcPr>
            <w:tcW w:w="8191" w:type="dxa"/>
            <w:gridSpan w:val="2"/>
            <w:tcBorders>
              <w:top w:val="single" w:sz="4" w:space="0" w:color="auto"/>
              <w:left w:val="single" w:sz="4" w:space="0" w:color="auto"/>
              <w:bottom w:val="single" w:sz="4" w:space="0" w:color="auto"/>
              <w:right w:val="single" w:sz="4" w:space="0" w:color="auto"/>
            </w:tcBorders>
          </w:tcPr>
          <w:p w14:paraId="78E0CF5F" w14:textId="6AEEB03C" w:rsidR="00290425" w:rsidRDefault="00290425" w:rsidP="00CB3370">
            <w:pPr>
              <w:pStyle w:val="ListParagraph"/>
              <w:ind w:left="3" w:hanging="3"/>
              <w:jc w:val="both"/>
            </w:pPr>
            <w:r w:rsidRPr="00290425">
              <w:t>The Committe</w:t>
            </w:r>
            <w:r w:rsidR="0040099B">
              <w:t xml:space="preserve">e conducted a review of the </w:t>
            </w:r>
            <w:r w:rsidR="004B2B04">
              <w:t>202</w:t>
            </w:r>
            <w:r w:rsidR="00180E6F">
              <w:t>1</w:t>
            </w:r>
            <w:r w:rsidR="004B2B04">
              <w:t>/2</w:t>
            </w:r>
            <w:r w:rsidR="00180E6F">
              <w:t>2</w:t>
            </w:r>
            <w:r w:rsidRPr="00290425">
              <w:t xml:space="preserve"> Business Risk Register</w:t>
            </w:r>
            <w:r w:rsidR="00331D1A">
              <w:t xml:space="preserve"> </w:t>
            </w:r>
            <w:r w:rsidR="00FB69DB">
              <w:t>an</w:t>
            </w:r>
            <w:r w:rsidR="00446937">
              <w:t>d</w:t>
            </w:r>
            <w:proofErr w:type="gramStart"/>
            <w:r w:rsidR="00FB69DB">
              <w:t>,</w:t>
            </w:r>
            <w:r w:rsidR="000C3610">
              <w:t xml:space="preserve"> </w:t>
            </w:r>
            <w:r w:rsidR="00FB69DB">
              <w:t>in particular, agreed</w:t>
            </w:r>
            <w:proofErr w:type="gramEnd"/>
            <w:r w:rsidR="00FB69DB">
              <w:t xml:space="preserve"> to recommend to the Standards Commission that:</w:t>
            </w:r>
          </w:p>
          <w:p w14:paraId="1920F985" w14:textId="4E75E5AE" w:rsidR="00180E6F" w:rsidRPr="00180E6F" w:rsidRDefault="00180E6F" w:rsidP="00180E6F">
            <w:pPr>
              <w:numPr>
                <w:ilvl w:val="0"/>
                <w:numId w:val="33"/>
              </w:numPr>
              <w:spacing w:after="160" w:line="256" w:lineRule="auto"/>
              <w:ind w:left="457" w:hanging="425"/>
              <w:contextualSpacing/>
              <w:jc w:val="both"/>
              <w:rPr>
                <w:rFonts w:cstheme="minorHAnsi"/>
              </w:rPr>
            </w:pPr>
            <w:r w:rsidRPr="00180E6F">
              <w:rPr>
                <w:rFonts w:cstheme="minorHAnsi"/>
              </w:rPr>
              <w:t xml:space="preserve">The probability score for risk </w:t>
            </w:r>
            <w:r w:rsidRPr="00180E6F">
              <w:rPr>
                <w:rFonts w:cstheme="minorHAnsi"/>
                <w:b/>
              </w:rPr>
              <w:t>two</w:t>
            </w:r>
            <w:r w:rsidRPr="00180E6F">
              <w:rPr>
                <w:rFonts w:cstheme="minorHAnsi"/>
              </w:rPr>
              <w:t xml:space="preserve"> be reduced to a 1 (with the overall score decreasing to 4) given that policies and processes </w:t>
            </w:r>
            <w:r w:rsidR="000C3610">
              <w:rPr>
                <w:rFonts w:cstheme="minorHAnsi"/>
              </w:rPr>
              <w:t>had</w:t>
            </w:r>
            <w:r w:rsidRPr="00180E6F">
              <w:rPr>
                <w:rFonts w:cstheme="minorHAnsi"/>
              </w:rPr>
              <w:t xml:space="preserve"> been developed, circulated and published in respect of Section 16 decisions made under the outcome of investigations Direction and in light of the ongoing discussions and joint working arrangements with the Acting Ethical Standards Commissioner (ESC).</w:t>
            </w:r>
          </w:p>
          <w:p w14:paraId="21111539" w14:textId="39F554DA" w:rsidR="00180E6F" w:rsidRPr="00180E6F" w:rsidRDefault="00180E6F" w:rsidP="00180E6F">
            <w:pPr>
              <w:numPr>
                <w:ilvl w:val="0"/>
                <w:numId w:val="33"/>
              </w:numPr>
              <w:spacing w:after="160" w:line="256" w:lineRule="auto"/>
              <w:ind w:left="457" w:hanging="425"/>
              <w:contextualSpacing/>
              <w:jc w:val="both"/>
              <w:rPr>
                <w:rFonts w:cstheme="minorHAnsi"/>
              </w:rPr>
            </w:pPr>
            <w:r w:rsidRPr="00180E6F">
              <w:rPr>
                <w:rFonts w:cstheme="minorHAnsi"/>
              </w:rPr>
              <w:t xml:space="preserve">The probability score for risk </w:t>
            </w:r>
            <w:r w:rsidRPr="00180E6F">
              <w:rPr>
                <w:rFonts w:cstheme="minorHAnsi"/>
                <w:b/>
                <w:bCs/>
              </w:rPr>
              <w:t>three</w:t>
            </w:r>
            <w:r w:rsidRPr="00180E6F">
              <w:rPr>
                <w:rFonts w:cstheme="minorHAnsi"/>
              </w:rPr>
              <w:t xml:space="preserve"> be reduced to a 1 (with the overall score decreasing to 3), given </w:t>
            </w:r>
            <w:r w:rsidR="000C3610">
              <w:rPr>
                <w:rFonts w:cstheme="minorHAnsi"/>
              </w:rPr>
              <w:t xml:space="preserve">that </w:t>
            </w:r>
            <w:r w:rsidRPr="00180E6F">
              <w:rPr>
                <w:rFonts w:cstheme="minorHAnsi"/>
              </w:rPr>
              <w:t>revised Guidance, Advice Notes and standard presentations on the revised Codes ha</w:t>
            </w:r>
            <w:r w:rsidR="000C3610">
              <w:rPr>
                <w:rFonts w:cstheme="minorHAnsi"/>
              </w:rPr>
              <w:t>d</w:t>
            </w:r>
            <w:r w:rsidRPr="00180E6F">
              <w:rPr>
                <w:rFonts w:cstheme="minorHAnsi"/>
              </w:rPr>
              <w:t xml:space="preserve"> all been issued and published</w:t>
            </w:r>
            <w:r w:rsidR="00CD229D">
              <w:rPr>
                <w:rFonts w:cstheme="minorHAnsi"/>
              </w:rPr>
              <w:t>, and given work undertaken by the Executive Team to engage with stakeholders (including Council Monitoring Officers) about the changes</w:t>
            </w:r>
            <w:r w:rsidRPr="00180E6F">
              <w:rPr>
                <w:rFonts w:cstheme="minorHAnsi"/>
              </w:rPr>
              <w:t>.</w:t>
            </w:r>
          </w:p>
          <w:p w14:paraId="2767DE23" w14:textId="5DF793D7" w:rsidR="00180E6F" w:rsidRPr="00180E6F" w:rsidRDefault="00180E6F" w:rsidP="00180E6F">
            <w:pPr>
              <w:numPr>
                <w:ilvl w:val="0"/>
                <w:numId w:val="33"/>
              </w:numPr>
              <w:spacing w:after="160" w:line="256" w:lineRule="auto"/>
              <w:ind w:left="457" w:hanging="425"/>
              <w:contextualSpacing/>
              <w:rPr>
                <w:rFonts w:cstheme="minorHAnsi"/>
              </w:rPr>
            </w:pPr>
            <w:r w:rsidRPr="00180E6F">
              <w:rPr>
                <w:rFonts w:cstheme="minorHAnsi"/>
              </w:rPr>
              <w:t xml:space="preserve">The probability score for risk </w:t>
            </w:r>
            <w:r w:rsidRPr="00180E6F">
              <w:rPr>
                <w:rFonts w:cstheme="minorHAnsi"/>
                <w:b/>
                <w:bCs/>
              </w:rPr>
              <w:t>nine</w:t>
            </w:r>
            <w:r w:rsidRPr="00180E6F">
              <w:rPr>
                <w:rFonts w:cstheme="minorHAnsi"/>
              </w:rPr>
              <w:t xml:space="preserve"> be reduced to a 2 (with the overall score decreasing to 8),</w:t>
            </w:r>
            <w:r w:rsidR="000C3610">
              <w:rPr>
                <w:rFonts w:cstheme="minorHAnsi"/>
              </w:rPr>
              <w:t xml:space="preserve"> </w:t>
            </w:r>
            <w:r w:rsidRPr="00180E6F">
              <w:rPr>
                <w:rFonts w:cstheme="minorHAnsi"/>
              </w:rPr>
              <w:t xml:space="preserve">as sufficient </w:t>
            </w:r>
            <w:r w:rsidR="000C3610">
              <w:rPr>
                <w:rFonts w:cstheme="minorHAnsi"/>
              </w:rPr>
              <w:t>M</w:t>
            </w:r>
            <w:r w:rsidRPr="00180E6F">
              <w:rPr>
                <w:rFonts w:cstheme="minorHAnsi"/>
              </w:rPr>
              <w:t xml:space="preserve">embers </w:t>
            </w:r>
            <w:r w:rsidR="000C3610">
              <w:rPr>
                <w:rFonts w:cstheme="minorHAnsi"/>
              </w:rPr>
              <w:t>were</w:t>
            </w:r>
            <w:r w:rsidRPr="00180E6F">
              <w:rPr>
                <w:rFonts w:cstheme="minorHAnsi"/>
              </w:rPr>
              <w:t xml:space="preserve"> available for the one Hearing to be held before the new member</w:t>
            </w:r>
            <w:r w:rsidR="000C3610">
              <w:rPr>
                <w:rFonts w:cstheme="minorHAnsi"/>
              </w:rPr>
              <w:t xml:space="preserve"> commenced in post on 7 February 2022</w:t>
            </w:r>
            <w:r w:rsidRPr="00180E6F">
              <w:rPr>
                <w:rFonts w:cstheme="minorHAnsi"/>
              </w:rPr>
              <w:t xml:space="preserve">. </w:t>
            </w:r>
            <w:r w:rsidR="000C3610">
              <w:rPr>
                <w:rFonts w:cstheme="minorHAnsi"/>
              </w:rPr>
              <w:t>The Committee agree</w:t>
            </w:r>
            <w:r w:rsidR="000205DE">
              <w:rPr>
                <w:rFonts w:cstheme="minorHAnsi"/>
              </w:rPr>
              <w:t>d</w:t>
            </w:r>
            <w:r w:rsidR="000C3610">
              <w:rPr>
                <w:rFonts w:cstheme="minorHAnsi"/>
              </w:rPr>
              <w:t xml:space="preserve"> </w:t>
            </w:r>
            <w:r w:rsidRPr="00180E6F">
              <w:rPr>
                <w:rFonts w:cstheme="minorHAnsi"/>
              </w:rPr>
              <w:t xml:space="preserve">that the risk score </w:t>
            </w:r>
            <w:r w:rsidR="000C3610">
              <w:rPr>
                <w:rFonts w:cstheme="minorHAnsi"/>
              </w:rPr>
              <w:t xml:space="preserve">should not </w:t>
            </w:r>
            <w:r w:rsidRPr="00180E6F">
              <w:rPr>
                <w:rFonts w:cstheme="minorHAnsi"/>
              </w:rPr>
              <w:t xml:space="preserve">be reduced further until the new </w:t>
            </w:r>
            <w:r w:rsidR="000C3610">
              <w:rPr>
                <w:rFonts w:cstheme="minorHAnsi"/>
              </w:rPr>
              <w:t>M</w:t>
            </w:r>
            <w:r w:rsidRPr="00180E6F">
              <w:rPr>
                <w:rFonts w:cstheme="minorHAnsi"/>
              </w:rPr>
              <w:t xml:space="preserve">ember </w:t>
            </w:r>
            <w:r w:rsidR="000C3610">
              <w:rPr>
                <w:rFonts w:cstheme="minorHAnsi"/>
              </w:rPr>
              <w:t>was</w:t>
            </w:r>
            <w:r w:rsidRPr="00180E6F">
              <w:rPr>
                <w:rFonts w:cstheme="minorHAnsi"/>
              </w:rPr>
              <w:t xml:space="preserve"> in post and their availability and training requirements </w:t>
            </w:r>
            <w:r w:rsidR="000C3610">
              <w:rPr>
                <w:rFonts w:cstheme="minorHAnsi"/>
              </w:rPr>
              <w:t>were</w:t>
            </w:r>
            <w:r w:rsidRPr="00180E6F">
              <w:rPr>
                <w:rFonts w:cstheme="minorHAnsi"/>
              </w:rPr>
              <w:t xml:space="preserve"> known. </w:t>
            </w:r>
          </w:p>
          <w:p w14:paraId="56C1A18E" w14:textId="11057512" w:rsidR="00180E6F" w:rsidRPr="00180E6F" w:rsidRDefault="00180E6F" w:rsidP="00180E6F">
            <w:pPr>
              <w:numPr>
                <w:ilvl w:val="0"/>
                <w:numId w:val="33"/>
              </w:numPr>
              <w:spacing w:after="160" w:line="256" w:lineRule="auto"/>
              <w:ind w:left="457" w:hanging="425"/>
              <w:contextualSpacing/>
              <w:rPr>
                <w:rFonts w:cstheme="minorHAnsi"/>
              </w:rPr>
            </w:pPr>
            <w:r w:rsidRPr="00180E6F">
              <w:rPr>
                <w:rFonts w:cstheme="minorHAnsi"/>
              </w:rPr>
              <w:t xml:space="preserve">The probability score for risk </w:t>
            </w:r>
            <w:r w:rsidRPr="00180E6F">
              <w:rPr>
                <w:rFonts w:cstheme="minorHAnsi"/>
                <w:b/>
                <w:bCs/>
              </w:rPr>
              <w:t>four</w:t>
            </w:r>
            <w:r w:rsidRPr="00180E6F">
              <w:rPr>
                <w:rFonts w:cstheme="minorHAnsi"/>
              </w:rPr>
              <w:t xml:space="preserve"> be reduced to a 1 (with the overall score decreasing to 4) in light of the key dependency risk analysis review</w:t>
            </w:r>
            <w:r w:rsidR="000C3610">
              <w:rPr>
                <w:rFonts w:cstheme="minorHAnsi"/>
              </w:rPr>
              <w:t xml:space="preserve"> that had been undertaken recently,</w:t>
            </w:r>
            <w:r w:rsidRPr="00180E6F">
              <w:rPr>
                <w:rFonts w:cstheme="minorHAnsi"/>
              </w:rPr>
              <w:t xml:space="preserve"> and the successful induction and training of the two members of staff</w:t>
            </w:r>
            <w:r w:rsidR="000C3610">
              <w:rPr>
                <w:rFonts w:cstheme="minorHAnsi"/>
              </w:rPr>
              <w:t>.</w:t>
            </w:r>
          </w:p>
          <w:p w14:paraId="5D5FB14E" w14:textId="7DEF85C1" w:rsidR="00180E6F" w:rsidRPr="00180E6F" w:rsidRDefault="00180E6F" w:rsidP="00180E6F">
            <w:pPr>
              <w:numPr>
                <w:ilvl w:val="0"/>
                <w:numId w:val="33"/>
              </w:numPr>
              <w:spacing w:after="160" w:line="256" w:lineRule="auto"/>
              <w:ind w:left="457" w:hanging="457"/>
              <w:contextualSpacing/>
              <w:rPr>
                <w:rFonts w:cstheme="minorHAnsi"/>
              </w:rPr>
            </w:pPr>
            <w:r w:rsidRPr="00180E6F">
              <w:rPr>
                <w:rFonts w:cstheme="minorHAnsi"/>
              </w:rPr>
              <w:t xml:space="preserve">The probability score for risk </w:t>
            </w:r>
            <w:r w:rsidRPr="00180E6F">
              <w:rPr>
                <w:rFonts w:cstheme="minorHAnsi"/>
                <w:b/>
                <w:bCs/>
              </w:rPr>
              <w:t>five</w:t>
            </w:r>
            <w:r w:rsidRPr="00180E6F">
              <w:rPr>
                <w:rFonts w:cstheme="minorHAnsi"/>
              </w:rPr>
              <w:t xml:space="preserve"> be reduced to a 2 (with the overall score decreasing to 6) given the expenditure to date and likelihood that the Standards Commission </w:t>
            </w:r>
            <w:r w:rsidR="000C3610">
              <w:rPr>
                <w:rFonts w:cstheme="minorHAnsi"/>
              </w:rPr>
              <w:t>would</w:t>
            </w:r>
            <w:r w:rsidRPr="00180E6F">
              <w:rPr>
                <w:rFonts w:cstheme="minorHAnsi"/>
              </w:rPr>
              <w:t xml:space="preserve"> continue to hold its Hearings online </w:t>
            </w:r>
            <w:r w:rsidR="000C3610">
              <w:rPr>
                <w:rFonts w:cstheme="minorHAnsi"/>
              </w:rPr>
              <w:t>for the remainder of</w:t>
            </w:r>
            <w:r w:rsidRPr="00180E6F">
              <w:rPr>
                <w:rFonts w:cstheme="minorHAnsi"/>
              </w:rPr>
              <w:t xml:space="preserve"> quarter four. </w:t>
            </w:r>
            <w:r w:rsidR="000C3610">
              <w:rPr>
                <w:rFonts w:cstheme="minorHAnsi"/>
              </w:rPr>
              <w:t>The Committee agreed that</w:t>
            </w:r>
            <w:r w:rsidRPr="00180E6F">
              <w:rPr>
                <w:rFonts w:cstheme="minorHAnsi"/>
              </w:rPr>
              <w:t xml:space="preserve"> the risk score </w:t>
            </w:r>
            <w:r w:rsidR="000C3610">
              <w:rPr>
                <w:rFonts w:cstheme="minorHAnsi"/>
              </w:rPr>
              <w:t xml:space="preserve">should not </w:t>
            </w:r>
            <w:r w:rsidRPr="00180E6F">
              <w:rPr>
                <w:rFonts w:cstheme="minorHAnsi"/>
              </w:rPr>
              <w:t xml:space="preserve">be reduced further until the number of Hearings to be held and costs associated with </w:t>
            </w:r>
            <w:r w:rsidR="00CD229D">
              <w:rPr>
                <w:rFonts w:cstheme="minorHAnsi"/>
              </w:rPr>
              <w:t>the</w:t>
            </w:r>
            <w:r w:rsidRPr="00180E6F">
              <w:rPr>
                <w:rFonts w:cstheme="minorHAnsi"/>
              </w:rPr>
              <w:t xml:space="preserve"> appeal</w:t>
            </w:r>
            <w:r w:rsidR="00CD229D">
              <w:rPr>
                <w:rFonts w:cstheme="minorHAnsi"/>
              </w:rPr>
              <w:t xml:space="preserve"> to the court of Session on case LA/R/2257 &amp; 3262 was</w:t>
            </w:r>
            <w:r w:rsidRPr="00180E6F">
              <w:rPr>
                <w:rFonts w:cstheme="minorHAnsi"/>
              </w:rPr>
              <w:t xml:space="preserve"> known.</w:t>
            </w:r>
          </w:p>
          <w:p w14:paraId="169681AD" w14:textId="60CC69A3" w:rsidR="00180E6F" w:rsidRPr="00180E6F" w:rsidRDefault="00180E6F" w:rsidP="00322288">
            <w:pPr>
              <w:numPr>
                <w:ilvl w:val="0"/>
                <w:numId w:val="33"/>
              </w:numPr>
              <w:spacing w:after="160" w:line="256" w:lineRule="auto"/>
              <w:ind w:left="457" w:hanging="425"/>
              <w:contextualSpacing/>
              <w:jc w:val="both"/>
              <w:rPr>
                <w:rFonts w:cstheme="minorHAnsi"/>
              </w:rPr>
            </w:pPr>
            <w:r w:rsidRPr="00180E6F">
              <w:rPr>
                <w:rFonts w:cstheme="minorHAnsi"/>
              </w:rPr>
              <w:t xml:space="preserve">The impact score for risk </w:t>
            </w:r>
            <w:r w:rsidRPr="00180E6F">
              <w:rPr>
                <w:rFonts w:cstheme="minorHAnsi"/>
                <w:b/>
                <w:bCs/>
              </w:rPr>
              <w:t>six</w:t>
            </w:r>
            <w:r w:rsidRPr="00180E6F">
              <w:rPr>
                <w:rFonts w:cstheme="minorHAnsi"/>
              </w:rPr>
              <w:t xml:space="preserve"> be reduced to a 2 (with the overall score decreasing to 6) as while the Acting ESC </w:t>
            </w:r>
            <w:r w:rsidR="00CD229D">
              <w:rPr>
                <w:rFonts w:cstheme="minorHAnsi"/>
              </w:rPr>
              <w:t>had</w:t>
            </w:r>
            <w:r w:rsidRPr="00180E6F">
              <w:rPr>
                <w:rFonts w:cstheme="minorHAnsi"/>
              </w:rPr>
              <w:t xml:space="preserve"> confirmed that his office still has a small backlog at the investigation stage, it </w:t>
            </w:r>
            <w:r w:rsidR="00CD229D">
              <w:rPr>
                <w:rFonts w:cstheme="minorHAnsi"/>
              </w:rPr>
              <w:t>was</w:t>
            </w:r>
            <w:r w:rsidRPr="00180E6F">
              <w:rPr>
                <w:rFonts w:cstheme="minorHAnsi"/>
              </w:rPr>
              <w:t xml:space="preserve"> considered that </w:t>
            </w:r>
            <w:r w:rsidR="00CD229D">
              <w:rPr>
                <w:rFonts w:cstheme="minorHAnsi"/>
              </w:rPr>
              <w:t>any</w:t>
            </w:r>
            <w:r w:rsidRPr="00180E6F">
              <w:rPr>
                <w:rFonts w:cstheme="minorHAnsi"/>
              </w:rPr>
              <w:t xml:space="preserve"> impact </w:t>
            </w:r>
            <w:r w:rsidR="00CD229D">
              <w:rPr>
                <w:rFonts w:cstheme="minorHAnsi"/>
              </w:rPr>
              <w:t>this would have on</w:t>
            </w:r>
            <w:r w:rsidRPr="00180E6F">
              <w:rPr>
                <w:rFonts w:cstheme="minorHAnsi"/>
              </w:rPr>
              <w:t xml:space="preserve"> confidence in the framework </w:t>
            </w:r>
            <w:r w:rsidR="00CD229D">
              <w:rPr>
                <w:rFonts w:cstheme="minorHAnsi"/>
              </w:rPr>
              <w:t>would be</w:t>
            </w:r>
            <w:r w:rsidRPr="00180E6F">
              <w:rPr>
                <w:rFonts w:cstheme="minorHAnsi"/>
              </w:rPr>
              <w:t xml:space="preserve"> mitigated by work undertaken by the Standards Commission in respect of the revised Guidance and Advice Notes and on decisions made under the Outcome of Investigations Direction.</w:t>
            </w:r>
          </w:p>
          <w:p w14:paraId="49314A13" w14:textId="77777777" w:rsidR="00180E6F" w:rsidRPr="00180E6F" w:rsidRDefault="00180E6F" w:rsidP="00180E6F">
            <w:pPr>
              <w:spacing w:after="160" w:line="256" w:lineRule="auto"/>
              <w:ind w:left="457"/>
              <w:contextualSpacing/>
              <w:jc w:val="both"/>
              <w:rPr>
                <w:rFonts w:cstheme="minorHAnsi"/>
                <w:highlight w:val="yellow"/>
              </w:rPr>
            </w:pPr>
          </w:p>
          <w:p w14:paraId="290B006B" w14:textId="61D3EACF" w:rsidR="007B136E" w:rsidRPr="007B136E" w:rsidRDefault="007B136E" w:rsidP="007B136E">
            <w:pPr>
              <w:jc w:val="both"/>
              <w:rPr>
                <w:rFonts w:eastAsia="Times New Roman"/>
              </w:rPr>
            </w:pPr>
            <w:r>
              <w:rPr>
                <w:rFonts w:eastAsia="Times New Roman"/>
              </w:rPr>
              <w:t xml:space="preserve">The Committee asked the Executive Team to make the proposed amendments, via track changes, for consideration by the Standards Commission at its meeting on </w:t>
            </w:r>
            <w:r w:rsidR="00180E6F">
              <w:rPr>
                <w:rFonts w:eastAsia="Times New Roman"/>
              </w:rPr>
              <w:t>31</w:t>
            </w:r>
            <w:r>
              <w:rPr>
                <w:rFonts w:eastAsia="Times New Roman"/>
              </w:rPr>
              <w:t xml:space="preserve"> January 20</w:t>
            </w:r>
            <w:r w:rsidR="004B2B04">
              <w:rPr>
                <w:rFonts w:eastAsia="Times New Roman"/>
              </w:rPr>
              <w:t>2</w:t>
            </w:r>
            <w:r w:rsidR="00180E6F">
              <w:rPr>
                <w:rFonts w:eastAsia="Times New Roman"/>
              </w:rPr>
              <w:t>2</w:t>
            </w:r>
            <w:r>
              <w:rPr>
                <w:rFonts w:eastAsia="Times New Roman"/>
              </w:rPr>
              <w:t>.</w:t>
            </w:r>
          </w:p>
          <w:p w14:paraId="261BD7C6" w14:textId="77777777" w:rsidR="00290425" w:rsidRPr="00EB5179" w:rsidRDefault="00290425" w:rsidP="00290425">
            <w:pPr>
              <w:pStyle w:val="ListParagraph"/>
              <w:ind w:left="3" w:hanging="3"/>
              <w:rPr>
                <w:b/>
              </w:rPr>
            </w:pPr>
          </w:p>
        </w:tc>
        <w:tc>
          <w:tcPr>
            <w:tcW w:w="1244" w:type="dxa"/>
            <w:tcBorders>
              <w:top w:val="single" w:sz="4" w:space="0" w:color="auto"/>
              <w:left w:val="single" w:sz="4" w:space="0" w:color="auto"/>
              <w:bottom w:val="single" w:sz="4" w:space="0" w:color="auto"/>
              <w:right w:val="single" w:sz="4" w:space="0" w:color="auto"/>
            </w:tcBorders>
          </w:tcPr>
          <w:p w14:paraId="153184AC" w14:textId="77777777" w:rsidR="001B716A" w:rsidRDefault="001B716A" w:rsidP="00BD7E32">
            <w:pPr>
              <w:pStyle w:val="ListParagraph"/>
              <w:ind w:left="-96"/>
              <w:jc w:val="center"/>
              <w:rPr>
                <w:b/>
              </w:rPr>
            </w:pPr>
          </w:p>
          <w:p w14:paraId="27BB87BD" w14:textId="77777777" w:rsidR="002E6672" w:rsidRDefault="002E6672" w:rsidP="00BD7E32">
            <w:pPr>
              <w:pStyle w:val="ListParagraph"/>
              <w:ind w:left="-96"/>
              <w:jc w:val="center"/>
              <w:rPr>
                <w:b/>
              </w:rPr>
            </w:pPr>
          </w:p>
          <w:p w14:paraId="60531B8D" w14:textId="77777777" w:rsidR="002E6672" w:rsidRDefault="002E6672" w:rsidP="00BD7E32">
            <w:pPr>
              <w:pStyle w:val="ListParagraph"/>
              <w:ind w:left="-96"/>
              <w:jc w:val="center"/>
              <w:rPr>
                <w:b/>
              </w:rPr>
            </w:pPr>
          </w:p>
          <w:p w14:paraId="6F54CB68" w14:textId="77777777" w:rsidR="002E6672" w:rsidRDefault="002E6672" w:rsidP="001B716A">
            <w:pPr>
              <w:pStyle w:val="ListParagraph"/>
              <w:ind w:left="-96"/>
              <w:rPr>
                <w:b/>
              </w:rPr>
            </w:pPr>
          </w:p>
          <w:p w14:paraId="0559D957" w14:textId="77777777" w:rsidR="007B136E" w:rsidRDefault="007B136E" w:rsidP="001B716A">
            <w:pPr>
              <w:pStyle w:val="ListParagraph"/>
              <w:ind w:left="-96"/>
              <w:rPr>
                <w:b/>
              </w:rPr>
            </w:pPr>
          </w:p>
          <w:p w14:paraId="62F380D9" w14:textId="77777777" w:rsidR="007B136E" w:rsidRDefault="007B136E" w:rsidP="001B716A">
            <w:pPr>
              <w:pStyle w:val="ListParagraph"/>
              <w:ind w:left="-96"/>
              <w:rPr>
                <w:b/>
              </w:rPr>
            </w:pPr>
          </w:p>
          <w:p w14:paraId="32A2DF0C" w14:textId="1CFD835C" w:rsidR="007B136E" w:rsidRDefault="007B136E" w:rsidP="001B716A">
            <w:pPr>
              <w:pStyle w:val="ListParagraph"/>
              <w:ind w:left="-96"/>
              <w:rPr>
                <w:b/>
              </w:rPr>
            </w:pPr>
          </w:p>
          <w:p w14:paraId="44A51E8A" w14:textId="0D915DDE" w:rsidR="00CD229D" w:rsidRDefault="00CD229D" w:rsidP="001B716A">
            <w:pPr>
              <w:pStyle w:val="ListParagraph"/>
              <w:ind w:left="-96"/>
              <w:rPr>
                <w:b/>
              </w:rPr>
            </w:pPr>
          </w:p>
          <w:p w14:paraId="1CCAB6F0" w14:textId="27D8CBE3" w:rsidR="00CD229D" w:rsidRDefault="00CD229D" w:rsidP="001B716A">
            <w:pPr>
              <w:pStyle w:val="ListParagraph"/>
              <w:ind w:left="-96"/>
              <w:rPr>
                <w:b/>
              </w:rPr>
            </w:pPr>
          </w:p>
          <w:p w14:paraId="43128DDE" w14:textId="39D965A6" w:rsidR="00CD229D" w:rsidRDefault="00CD229D" w:rsidP="001B716A">
            <w:pPr>
              <w:pStyle w:val="ListParagraph"/>
              <w:ind w:left="-96"/>
              <w:rPr>
                <w:b/>
              </w:rPr>
            </w:pPr>
          </w:p>
          <w:p w14:paraId="641D6FA3" w14:textId="5850B45A" w:rsidR="00CD229D" w:rsidRDefault="00CD229D" w:rsidP="001B716A">
            <w:pPr>
              <w:pStyle w:val="ListParagraph"/>
              <w:ind w:left="-96"/>
              <w:rPr>
                <w:b/>
              </w:rPr>
            </w:pPr>
          </w:p>
          <w:p w14:paraId="2B23CF5E" w14:textId="17D7077E" w:rsidR="00CD229D" w:rsidRDefault="00CD229D" w:rsidP="001B716A">
            <w:pPr>
              <w:pStyle w:val="ListParagraph"/>
              <w:ind w:left="-96"/>
              <w:rPr>
                <w:b/>
              </w:rPr>
            </w:pPr>
          </w:p>
          <w:p w14:paraId="2F47250C" w14:textId="576500A5" w:rsidR="00CD229D" w:rsidRDefault="00CD229D" w:rsidP="001B716A">
            <w:pPr>
              <w:pStyle w:val="ListParagraph"/>
              <w:ind w:left="-96"/>
              <w:rPr>
                <w:b/>
              </w:rPr>
            </w:pPr>
          </w:p>
          <w:p w14:paraId="58D69820" w14:textId="3B96E9D4" w:rsidR="00CD229D" w:rsidRDefault="00CD229D" w:rsidP="001B716A">
            <w:pPr>
              <w:pStyle w:val="ListParagraph"/>
              <w:ind w:left="-96"/>
              <w:rPr>
                <w:b/>
              </w:rPr>
            </w:pPr>
          </w:p>
          <w:p w14:paraId="27953A91" w14:textId="22F48A45" w:rsidR="00CD229D" w:rsidRDefault="00CD229D" w:rsidP="001B716A">
            <w:pPr>
              <w:pStyle w:val="ListParagraph"/>
              <w:ind w:left="-96"/>
              <w:rPr>
                <w:b/>
              </w:rPr>
            </w:pPr>
          </w:p>
          <w:p w14:paraId="1A693862" w14:textId="51A4CDBC" w:rsidR="00CD229D" w:rsidRDefault="00CD229D" w:rsidP="001B716A">
            <w:pPr>
              <w:pStyle w:val="ListParagraph"/>
              <w:ind w:left="-96"/>
              <w:rPr>
                <w:b/>
              </w:rPr>
            </w:pPr>
          </w:p>
          <w:p w14:paraId="3A757FBC" w14:textId="48B2325A" w:rsidR="00CD229D" w:rsidRDefault="00CD229D" w:rsidP="001B716A">
            <w:pPr>
              <w:pStyle w:val="ListParagraph"/>
              <w:ind w:left="-96"/>
              <w:rPr>
                <w:b/>
              </w:rPr>
            </w:pPr>
          </w:p>
          <w:p w14:paraId="7742857A" w14:textId="4E0790E8" w:rsidR="00CD229D" w:rsidRDefault="00CD229D" w:rsidP="001B716A">
            <w:pPr>
              <w:pStyle w:val="ListParagraph"/>
              <w:ind w:left="-96"/>
              <w:rPr>
                <w:b/>
              </w:rPr>
            </w:pPr>
          </w:p>
          <w:p w14:paraId="134EEA3A" w14:textId="557C73A8" w:rsidR="00CD229D" w:rsidRDefault="00CD229D" w:rsidP="001B716A">
            <w:pPr>
              <w:pStyle w:val="ListParagraph"/>
              <w:ind w:left="-96"/>
              <w:rPr>
                <w:b/>
              </w:rPr>
            </w:pPr>
          </w:p>
          <w:p w14:paraId="226DE3E7" w14:textId="6CCCCFA9" w:rsidR="00CD229D" w:rsidRDefault="00CD229D" w:rsidP="001B716A">
            <w:pPr>
              <w:pStyle w:val="ListParagraph"/>
              <w:ind w:left="-96"/>
              <w:rPr>
                <w:b/>
              </w:rPr>
            </w:pPr>
          </w:p>
          <w:p w14:paraId="08476FD3" w14:textId="379994A5" w:rsidR="00CD229D" w:rsidRDefault="00CD229D" w:rsidP="001B716A">
            <w:pPr>
              <w:pStyle w:val="ListParagraph"/>
              <w:ind w:left="-96"/>
              <w:rPr>
                <w:b/>
              </w:rPr>
            </w:pPr>
          </w:p>
          <w:p w14:paraId="19E8511D" w14:textId="007C90D8" w:rsidR="00CD229D" w:rsidRDefault="00CD229D" w:rsidP="001B716A">
            <w:pPr>
              <w:pStyle w:val="ListParagraph"/>
              <w:ind w:left="-96"/>
              <w:rPr>
                <w:b/>
              </w:rPr>
            </w:pPr>
          </w:p>
          <w:p w14:paraId="45CD50A3" w14:textId="709B5075" w:rsidR="00CD229D" w:rsidRDefault="00CD229D" w:rsidP="001B716A">
            <w:pPr>
              <w:pStyle w:val="ListParagraph"/>
              <w:ind w:left="-96"/>
              <w:rPr>
                <w:b/>
              </w:rPr>
            </w:pPr>
          </w:p>
          <w:p w14:paraId="116A9C9B" w14:textId="4206A2C7" w:rsidR="00CD229D" w:rsidRDefault="00CD229D" w:rsidP="001B716A">
            <w:pPr>
              <w:pStyle w:val="ListParagraph"/>
              <w:ind w:left="-96"/>
              <w:rPr>
                <w:b/>
              </w:rPr>
            </w:pPr>
          </w:p>
          <w:p w14:paraId="139F762D" w14:textId="67855391" w:rsidR="00CD229D" w:rsidRDefault="00CD229D" w:rsidP="001B716A">
            <w:pPr>
              <w:pStyle w:val="ListParagraph"/>
              <w:ind w:left="-96"/>
              <w:rPr>
                <w:b/>
              </w:rPr>
            </w:pPr>
          </w:p>
          <w:p w14:paraId="00E3DCDD" w14:textId="409CAF13" w:rsidR="00CD229D" w:rsidRDefault="00CD229D" w:rsidP="001B716A">
            <w:pPr>
              <w:pStyle w:val="ListParagraph"/>
              <w:ind w:left="-96"/>
              <w:rPr>
                <w:b/>
              </w:rPr>
            </w:pPr>
          </w:p>
          <w:p w14:paraId="55F54CDC" w14:textId="3E927AE0" w:rsidR="00CD229D" w:rsidRDefault="00CD229D" w:rsidP="001B716A">
            <w:pPr>
              <w:pStyle w:val="ListParagraph"/>
              <w:ind w:left="-96"/>
              <w:rPr>
                <w:b/>
              </w:rPr>
            </w:pPr>
          </w:p>
          <w:p w14:paraId="1480ACE2" w14:textId="277514D9" w:rsidR="00CD229D" w:rsidRDefault="00CD229D" w:rsidP="001B716A">
            <w:pPr>
              <w:pStyle w:val="ListParagraph"/>
              <w:ind w:left="-96"/>
              <w:rPr>
                <w:b/>
              </w:rPr>
            </w:pPr>
          </w:p>
          <w:p w14:paraId="51AD8BE4" w14:textId="09DC997A" w:rsidR="00CD229D" w:rsidRDefault="00CD229D" w:rsidP="001B716A">
            <w:pPr>
              <w:pStyle w:val="ListParagraph"/>
              <w:ind w:left="-96"/>
              <w:rPr>
                <w:b/>
              </w:rPr>
            </w:pPr>
          </w:p>
          <w:p w14:paraId="6EF88328" w14:textId="4ECC8B51" w:rsidR="00CD229D" w:rsidRDefault="00CD229D" w:rsidP="001B716A">
            <w:pPr>
              <w:pStyle w:val="ListParagraph"/>
              <w:ind w:left="-96"/>
              <w:rPr>
                <w:b/>
              </w:rPr>
            </w:pPr>
          </w:p>
          <w:p w14:paraId="180990F3" w14:textId="420A6AAE" w:rsidR="00CD229D" w:rsidRDefault="00CD229D" w:rsidP="001B716A">
            <w:pPr>
              <w:pStyle w:val="ListParagraph"/>
              <w:ind w:left="-96"/>
              <w:rPr>
                <w:b/>
              </w:rPr>
            </w:pPr>
          </w:p>
          <w:p w14:paraId="24AB7C17" w14:textId="77777777" w:rsidR="00CD229D" w:rsidRDefault="00CD229D" w:rsidP="001B716A">
            <w:pPr>
              <w:pStyle w:val="ListParagraph"/>
              <w:ind w:left="-96"/>
              <w:rPr>
                <w:b/>
              </w:rPr>
            </w:pPr>
          </w:p>
          <w:p w14:paraId="2D539D83" w14:textId="13C4F58E" w:rsidR="00446937" w:rsidRDefault="00446937" w:rsidP="001B716A">
            <w:pPr>
              <w:pStyle w:val="ListParagraph"/>
              <w:ind w:left="-96"/>
              <w:rPr>
                <w:b/>
              </w:rPr>
            </w:pPr>
          </w:p>
          <w:p w14:paraId="060D1192" w14:textId="3E67BE5E" w:rsidR="00CD229D" w:rsidRDefault="00CD229D" w:rsidP="001B716A">
            <w:pPr>
              <w:pStyle w:val="ListParagraph"/>
              <w:ind w:left="-96"/>
              <w:rPr>
                <w:b/>
              </w:rPr>
            </w:pPr>
          </w:p>
          <w:p w14:paraId="2CFEFC0F" w14:textId="77777777" w:rsidR="00CD229D" w:rsidRDefault="00CD229D" w:rsidP="001B716A">
            <w:pPr>
              <w:pStyle w:val="ListParagraph"/>
              <w:ind w:left="-96"/>
              <w:rPr>
                <w:b/>
              </w:rPr>
            </w:pPr>
          </w:p>
          <w:p w14:paraId="7BCE6F5F" w14:textId="77777777" w:rsidR="007B136E" w:rsidRDefault="007B136E" w:rsidP="001B716A">
            <w:pPr>
              <w:pStyle w:val="ListParagraph"/>
              <w:ind w:left="-96"/>
              <w:rPr>
                <w:b/>
              </w:rPr>
            </w:pPr>
          </w:p>
          <w:p w14:paraId="399385F9" w14:textId="77777777" w:rsidR="007B136E" w:rsidRDefault="007B136E" w:rsidP="00446937">
            <w:pPr>
              <w:pStyle w:val="ListParagraph"/>
              <w:ind w:left="0"/>
              <w:rPr>
                <w:b/>
              </w:rPr>
            </w:pPr>
            <w:r>
              <w:rPr>
                <w:b/>
              </w:rPr>
              <w:t>Executive Team</w:t>
            </w:r>
          </w:p>
          <w:p w14:paraId="6B87820A" w14:textId="77777777" w:rsidR="007B136E" w:rsidRPr="0078484D" w:rsidRDefault="007B136E" w:rsidP="001B716A">
            <w:pPr>
              <w:pStyle w:val="ListParagraph"/>
              <w:ind w:left="-96"/>
              <w:rPr>
                <w:b/>
              </w:rPr>
            </w:pPr>
          </w:p>
        </w:tc>
      </w:tr>
      <w:tr w:rsidR="007B136E" w14:paraId="209E3656" w14:textId="77777777"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B0B1B6" w14:textId="77777777" w:rsidR="007B136E" w:rsidRDefault="007B136E" w:rsidP="007B136E">
            <w:pPr>
              <w:pStyle w:val="ListParagraph"/>
              <w:ind w:left="-96"/>
              <w:rPr>
                <w:b/>
              </w:rPr>
            </w:pPr>
            <w:r>
              <w:rPr>
                <w:b/>
              </w:rPr>
              <w:t>ANY OTHER BUSINESS</w:t>
            </w:r>
          </w:p>
        </w:tc>
      </w:tr>
      <w:tr w:rsidR="007B136E" w14:paraId="4FDF85A5" w14:textId="77777777" w:rsidTr="007B136E">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709742F4" w14:textId="77777777" w:rsidR="007B136E" w:rsidRDefault="004B2B04" w:rsidP="007B136E">
            <w:pPr>
              <w:pStyle w:val="ListParagraph"/>
              <w:ind w:left="-96"/>
              <w:rPr>
                <w:b/>
              </w:rPr>
            </w:pPr>
            <w:r>
              <w:rPr>
                <w:b/>
              </w:rPr>
              <w:t xml:space="preserve"> 7.</w:t>
            </w:r>
          </w:p>
        </w:tc>
        <w:tc>
          <w:tcPr>
            <w:tcW w:w="81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F06FF1" w14:textId="77777777" w:rsidR="00791888" w:rsidRDefault="004B2B04" w:rsidP="007B136E">
            <w:pPr>
              <w:pStyle w:val="ListParagraph"/>
              <w:ind w:left="10"/>
              <w:rPr>
                <w:b/>
              </w:rPr>
            </w:pPr>
            <w:r w:rsidRPr="00791888">
              <w:rPr>
                <w:b/>
              </w:rPr>
              <w:t>Payroll Services</w:t>
            </w:r>
          </w:p>
          <w:p w14:paraId="082D4546" w14:textId="6D75B041" w:rsidR="00180E6F" w:rsidRDefault="00791888" w:rsidP="00180E6F">
            <w:pPr>
              <w:pStyle w:val="ListParagraph"/>
              <w:ind w:left="10"/>
            </w:pPr>
            <w:r>
              <w:lastRenderedPageBreak/>
              <w:t>T</w:t>
            </w:r>
            <w:r w:rsidR="007B136E" w:rsidRPr="00876794">
              <w:t>he Committee noted tha</w:t>
            </w:r>
            <w:r w:rsidR="000F2418" w:rsidRPr="00876794">
              <w:t xml:space="preserve">t </w:t>
            </w:r>
            <w:r w:rsidR="000205DE">
              <w:t xml:space="preserve">the </w:t>
            </w:r>
            <w:r w:rsidR="00180E6F">
              <w:t>project</w:t>
            </w:r>
            <w:r w:rsidR="000F2418" w:rsidRPr="00876794">
              <w:t xml:space="preserve"> to put in place a new payroll processing service </w:t>
            </w:r>
            <w:r w:rsidR="00180E6F">
              <w:t>had been completed, with the contract with the new provider being effective from 1 August 2021.</w:t>
            </w:r>
          </w:p>
          <w:p w14:paraId="4BC74128" w14:textId="77777777" w:rsidR="00180E6F" w:rsidRDefault="00180E6F" w:rsidP="00180E6F">
            <w:pPr>
              <w:pStyle w:val="ListParagraph"/>
              <w:ind w:left="10"/>
            </w:pPr>
          </w:p>
          <w:p w14:paraId="0DCBA31B" w14:textId="20A17CDE" w:rsidR="00180E6F" w:rsidRDefault="00180E6F" w:rsidP="00180E6F">
            <w:pPr>
              <w:pStyle w:val="ListParagraph"/>
              <w:ind w:left="10"/>
            </w:pPr>
            <w:r>
              <w:t xml:space="preserve">The </w:t>
            </w:r>
            <w:r w:rsidR="00CD229D">
              <w:t>C</w:t>
            </w:r>
            <w:r>
              <w:t>ommittee noted that the Office Manager and Administrative Assistant had both attended training sessions on completing the monthly payroll template and administration of the online payslip facility. All staff and Members ha</w:t>
            </w:r>
            <w:r w:rsidR="00CD229D">
              <w:t>d</w:t>
            </w:r>
            <w:r>
              <w:t xml:space="preserve"> been provided with login details for the online payslip facility.</w:t>
            </w:r>
          </w:p>
          <w:p w14:paraId="583D0B6A" w14:textId="77777777" w:rsidR="00180E6F" w:rsidRDefault="00180E6F" w:rsidP="00180E6F">
            <w:pPr>
              <w:pStyle w:val="ListParagraph"/>
              <w:ind w:left="10"/>
            </w:pPr>
          </w:p>
          <w:p w14:paraId="38EBBBB9" w14:textId="14820D99" w:rsidR="00180E6F" w:rsidRDefault="00180E6F" w:rsidP="00180E6F">
            <w:pPr>
              <w:pStyle w:val="ListParagraph"/>
              <w:ind w:left="10"/>
            </w:pPr>
            <w:r>
              <w:t xml:space="preserve">The Committee further noted that monthly processing for Hearing claims, staff expense claims and annual pay awards have been completed on time, with all staff and Members having been paid as expected.  </w:t>
            </w:r>
            <w:r w:rsidR="00CD229D">
              <w:t>The Committee agreed that as the project had been completed, there was no requirement for it to continue to monitor progress. The Committee thanked the Office Manager for her work in delivering the project successfully.</w:t>
            </w:r>
          </w:p>
          <w:p w14:paraId="5B4AF576" w14:textId="77777777" w:rsidR="00625E04" w:rsidRPr="00876794" w:rsidRDefault="00625E04" w:rsidP="00180E6F">
            <w:pPr>
              <w:pStyle w:val="ListParagraph"/>
              <w:ind w:left="10"/>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9BC3" w14:textId="77777777" w:rsidR="007B136E" w:rsidRDefault="007B136E" w:rsidP="007B136E">
            <w:pPr>
              <w:pStyle w:val="ListParagraph"/>
              <w:ind w:left="-96"/>
              <w:rPr>
                <w:b/>
              </w:rPr>
            </w:pPr>
          </w:p>
        </w:tc>
      </w:tr>
      <w:tr w:rsidR="004C6F49" w14:paraId="022E4003" w14:textId="77777777" w:rsidTr="007B136E">
        <w:tc>
          <w:tcPr>
            <w:tcW w:w="105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16E3CE" w14:textId="77777777" w:rsidR="004C6F49" w:rsidRPr="004B469B" w:rsidRDefault="002F28E3" w:rsidP="002F28E3">
            <w:pPr>
              <w:ind w:left="25"/>
              <w:rPr>
                <w:b/>
                <w:sz w:val="24"/>
                <w:szCs w:val="24"/>
                <w:highlight w:val="yellow"/>
              </w:rPr>
            </w:pPr>
            <w:r w:rsidRPr="00243748">
              <w:rPr>
                <w:b/>
                <w:szCs w:val="24"/>
              </w:rPr>
              <w:t>NEXT MEETING</w:t>
            </w:r>
          </w:p>
        </w:tc>
      </w:tr>
      <w:tr w:rsidR="001B716A" w14:paraId="29C1B4AD" w14:textId="77777777" w:rsidTr="007B136E">
        <w:tc>
          <w:tcPr>
            <w:tcW w:w="1131" w:type="dxa"/>
            <w:tcBorders>
              <w:top w:val="single" w:sz="4" w:space="0" w:color="auto"/>
              <w:left w:val="single" w:sz="4" w:space="0" w:color="auto"/>
              <w:bottom w:val="single" w:sz="4" w:space="0" w:color="auto"/>
              <w:right w:val="single" w:sz="4" w:space="0" w:color="auto"/>
            </w:tcBorders>
          </w:tcPr>
          <w:p w14:paraId="435A7554" w14:textId="77777777" w:rsidR="001B716A" w:rsidRPr="004B2B04" w:rsidRDefault="004B2B04" w:rsidP="004B2B04">
            <w:pPr>
              <w:rPr>
                <w:b/>
              </w:rPr>
            </w:pPr>
            <w:r w:rsidRPr="004B2B04">
              <w:rPr>
                <w:b/>
              </w:rPr>
              <w:t>8.</w:t>
            </w:r>
          </w:p>
        </w:tc>
        <w:tc>
          <w:tcPr>
            <w:tcW w:w="8191" w:type="dxa"/>
            <w:gridSpan w:val="2"/>
            <w:tcBorders>
              <w:top w:val="single" w:sz="4" w:space="0" w:color="auto"/>
              <w:left w:val="single" w:sz="4" w:space="0" w:color="auto"/>
              <w:bottom w:val="single" w:sz="4" w:space="0" w:color="auto"/>
              <w:right w:val="single" w:sz="4" w:space="0" w:color="auto"/>
            </w:tcBorders>
          </w:tcPr>
          <w:p w14:paraId="087016A7" w14:textId="01667E57" w:rsidR="00180E6F" w:rsidRDefault="00290425" w:rsidP="00387027">
            <w:pPr>
              <w:pStyle w:val="ListParagraph"/>
              <w:ind w:left="3" w:hanging="3"/>
            </w:pPr>
            <w:r w:rsidRPr="00290425">
              <w:t xml:space="preserve">The Committee </w:t>
            </w:r>
            <w:r w:rsidR="00446937">
              <w:t>noted that it was next</w:t>
            </w:r>
            <w:r w:rsidRPr="00290425">
              <w:t xml:space="preserve"> scheduled to meet on</w:t>
            </w:r>
            <w:r w:rsidR="00180E6F">
              <w:t>line on 24</w:t>
            </w:r>
            <w:r w:rsidRPr="00290425">
              <w:t xml:space="preserve"> May 20</w:t>
            </w:r>
            <w:r w:rsidR="004A0ABD">
              <w:t>2</w:t>
            </w:r>
            <w:r w:rsidR="00180E6F">
              <w:t>2</w:t>
            </w:r>
            <w:r w:rsidRPr="00290425">
              <w:t>.</w:t>
            </w:r>
            <w:r>
              <w:t xml:space="preserve"> </w:t>
            </w:r>
            <w:r w:rsidR="00CD229D">
              <w:t>The Chair noted that as Mr Walker was now the Standards Commission’s Convener, he would not be on the Committee going forward. The Chair thanked Mr Walker for his work and support as a committee member.</w:t>
            </w:r>
          </w:p>
          <w:p w14:paraId="0053E0E1" w14:textId="5C6421C3" w:rsidR="005C777A" w:rsidRPr="00EB5179" w:rsidRDefault="00290425" w:rsidP="00387027">
            <w:pPr>
              <w:pStyle w:val="ListParagraph"/>
              <w:ind w:left="3" w:hanging="3"/>
              <w:rPr>
                <w:b/>
              </w:rPr>
            </w:pPr>
            <w:r>
              <w:t xml:space="preserve"> </w:t>
            </w:r>
          </w:p>
        </w:tc>
        <w:tc>
          <w:tcPr>
            <w:tcW w:w="1244" w:type="dxa"/>
            <w:tcBorders>
              <w:top w:val="single" w:sz="4" w:space="0" w:color="auto"/>
              <w:left w:val="single" w:sz="4" w:space="0" w:color="auto"/>
              <w:bottom w:val="single" w:sz="4" w:space="0" w:color="auto"/>
              <w:right w:val="single" w:sz="4" w:space="0" w:color="auto"/>
            </w:tcBorders>
          </w:tcPr>
          <w:p w14:paraId="2CE6B530" w14:textId="77777777" w:rsidR="001B716A" w:rsidRPr="0078484D" w:rsidRDefault="001B716A" w:rsidP="001B716A">
            <w:pPr>
              <w:pStyle w:val="ListParagraph"/>
              <w:ind w:left="-96"/>
              <w:rPr>
                <w:b/>
              </w:rPr>
            </w:pPr>
          </w:p>
        </w:tc>
      </w:tr>
    </w:tbl>
    <w:p w14:paraId="073D2898" w14:textId="77777777" w:rsidR="001A3C46" w:rsidRDefault="00F918FA">
      <w:r>
        <w:br w:type="textWrapping" w:clear="all"/>
      </w:r>
    </w:p>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6890" w14:textId="77777777" w:rsidR="00C20573" w:rsidRDefault="00C20573" w:rsidP="0052545A">
      <w:pPr>
        <w:spacing w:after="0" w:line="240" w:lineRule="auto"/>
      </w:pPr>
      <w:r>
        <w:separator/>
      </w:r>
    </w:p>
  </w:endnote>
  <w:endnote w:type="continuationSeparator" w:id="0">
    <w:p w14:paraId="246A1400" w14:textId="77777777"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D742" w14:textId="77777777"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F73B" w14:textId="77777777" w:rsidR="00C20573" w:rsidRDefault="00C20573" w:rsidP="0052545A">
      <w:pPr>
        <w:spacing w:after="0" w:line="240" w:lineRule="auto"/>
      </w:pPr>
      <w:r>
        <w:separator/>
      </w:r>
    </w:p>
  </w:footnote>
  <w:footnote w:type="continuationSeparator" w:id="0">
    <w:p w14:paraId="566FCB5C" w14:textId="77777777"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4F4E" w14:textId="07C7908A" w:rsidR="00D8287E" w:rsidRDefault="00D8287E" w:rsidP="0052545A">
    <w:pPr>
      <w:pStyle w:val="Header"/>
      <w:jc w:val="right"/>
    </w:pPr>
    <w:r>
      <w:rPr>
        <w:noProof/>
        <w:lang w:eastAsia="en-GB"/>
      </w:rPr>
      <w:drawing>
        <wp:anchor distT="0" distB="0" distL="114300" distR="114300" simplePos="0" relativeHeight="251657216" behindDoc="1" locked="0" layoutInCell="1" allowOverlap="1" wp14:anchorId="0E3DACFA" wp14:editId="6F219FED">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14:paraId="470728D5" w14:textId="77777777" w:rsidTr="0052545A">
      <w:tc>
        <w:tcPr>
          <w:tcW w:w="4361" w:type="dxa"/>
          <w:hideMark/>
        </w:tcPr>
        <w:p w14:paraId="432120DA" w14:textId="77777777" w:rsidR="00D8287E" w:rsidRDefault="00D8287E">
          <w:pPr>
            <w:pStyle w:val="Header"/>
          </w:pPr>
          <w:r>
            <w:rPr>
              <w:noProof/>
              <w:lang w:eastAsia="en-GB"/>
            </w:rPr>
            <w:drawing>
              <wp:inline distT="0" distB="0" distL="0" distR="0" wp14:anchorId="78012E45" wp14:editId="605911EA">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14:paraId="68F629E7" w14:textId="77777777" w:rsidR="00D8287E" w:rsidRPr="00065B2E" w:rsidRDefault="00D8287E">
          <w:pPr>
            <w:pStyle w:val="Header"/>
            <w:rPr>
              <w:b/>
            </w:rPr>
          </w:pPr>
        </w:p>
        <w:p w14:paraId="46B27389" w14:textId="677B397D" w:rsidR="00D8287E" w:rsidRDefault="00D8287E" w:rsidP="008D29F9">
          <w:pPr>
            <w:pStyle w:val="Header"/>
            <w:jc w:val="right"/>
          </w:pPr>
        </w:p>
      </w:tc>
    </w:tr>
  </w:tbl>
  <w:p w14:paraId="78B659F4" w14:textId="77777777"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8E9"/>
    <w:multiLevelType w:val="hybridMultilevel"/>
    <w:tmpl w:val="031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EF152B4"/>
    <w:multiLevelType w:val="hybridMultilevel"/>
    <w:tmpl w:val="1826D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7"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8"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9"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6"/>
  </w:num>
  <w:num w:numId="3">
    <w:abstractNumId w:val="23"/>
  </w:num>
  <w:num w:numId="4">
    <w:abstractNumId w:val="1"/>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29"/>
  </w:num>
  <w:num w:numId="12">
    <w:abstractNumId w:val="26"/>
  </w:num>
  <w:num w:numId="13">
    <w:abstractNumId w:val="24"/>
  </w:num>
  <w:num w:numId="14">
    <w:abstractNumId w:val="27"/>
  </w:num>
  <w:num w:numId="15">
    <w:abstractNumId w:val="4"/>
  </w:num>
  <w:num w:numId="16">
    <w:abstractNumId w:val="30"/>
  </w:num>
  <w:num w:numId="17">
    <w:abstractNumId w:val="10"/>
  </w:num>
  <w:num w:numId="18">
    <w:abstractNumId w:val="19"/>
  </w:num>
  <w:num w:numId="19">
    <w:abstractNumId w:val="2"/>
  </w:num>
  <w:num w:numId="20">
    <w:abstractNumId w:val="3"/>
  </w:num>
  <w:num w:numId="21">
    <w:abstractNumId w:val="14"/>
  </w:num>
  <w:num w:numId="22">
    <w:abstractNumId w:val="12"/>
  </w:num>
  <w:num w:numId="23">
    <w:abstractNumId w:val="28"/>
  </w:num>
  <w:num w:numId="24">
    <w:abstractNumId w:val="20"/>
  </w:num>
  <w:num w:numId="25">
    <w:abstractNumId w:val="18"/>
  </w:num>
  <w:num w:numId="26">
    <w:abstractNumId w:val="21"/>
  </w:num>
  <w:num w:numId="27">
    <w:abstractNumId w:val="22"/>
  </w:num>
  <w:num w:numId="28">
    <w:abstractNumId w:val="15"/>
  </w:num>
  <w:num w:numId="29">
    <w:abstractNumId w:val="17"/>
  </w:num>
  <w:num w:numId="30">
    <w:abstractNumId w:val="7"/>
  </w:num>
  <w:num w:numId="31">
    <w:abstractNumId w:val="13"/>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5FFC"/>
    <w:rsid w:val="000131CE"/>
    <w:rsid w:val="000205DE"/>
    <w:rsid w:val="000233C4"/>
    <w:rsid w:val="0002353D"/>
    <w:rsid w:val="000248E2"/>
    <w:rsid w:val="00027146"/>
    <w:rsid w:val="000272FE"/>
    <w:rsid w:val="0003231F"/>
    <w:rsid w:val="00036407"/>
    <w:rsid w:val="000365E4"/>
    <w:rsid w:val="00043F0A"/>
    <w:rsid w:val="00065B2E"/>
    <w:rsid w:val="00091BAA"/>
    <w:rsid w:val="00092C5F"/>
    <w:rsid w:val="000954BA"/>
    <w:rsid w:val="000A151D"/>
    <w:rsid w:val="000B15AD"/>
    <w:rsid w:val="000B1A3F"/>
    <w:rsid w:val="000B5BB5"/>
    <w:rsid w:val="000C0EAA"/>
    <w:rsid w:val="000C3610"/>
    <w:rsid w:val="000C5FC2"/>
    <w:rsid w:val="000C66C0"/>
    <w:rsid w:val="000C73DE"/>
    <w:rsid w:val="000D443D"/>
    <w:rsid w:val="000E045A"/>
    <w:rsid w:val="000F2418"/>
    <w:rsid w:val="0010178D"/>
    <w:rsid w:val="00103890"/>
    <w:rsid w:val="00107CD4"/>
    <w:rsid w:val="00114785"/>
    <w:rsid w:val="0012663F"/>
    <w:rsid w:val="00136940"/>
    <w:rsid w:val="00151BE4"/>
    <w:rsid w:val="00155520"/>
    <w:rsid w:val="0016089C"/>
    <w:rsid w:val="001616C2"/>
    <w:rsid w:val="00161E68"/>
    <w:rsid w:val="001663B1"/>
    <w:rsid w:val="001744F5"/>
    <w:rsid w:val="00180E6F"/>
    <w:rsid w:val="0018273F"/>
    <w:rsid w:val="001A1265"/>
    <w:rsid w:val="001A39D8"/>
    <w:rsid w:val="001A3C46"/>
    <w:rsid w:val="001A3E73"/>
    <w:rsid w:val="001B716A"/>
    <w:rsid w:val="001C22F0"/>
    <w:rsid w:val="001C3252"/>
    <w:rsid w:val="001D7680"/>
    <w:rsid w:val="001E3A8C"/>
    <w:rsid w:val="001F7B32"/>
    <w:rsid w:val="00200F91"/>
    <w:rsid w:val="002010BE"/>
    <w:rsid w:val="002014E5"/>
    <w:rsid w:val="0021293B"/>
    <w:rsid w:val="00213494"/>
    <w:rsid w:val="00214C83"/>
    <w:rsid w:val="0021560B"/>
    <w:rsid w:val="00217A02"/>
    <w:rsid w:val="00230E82"/>
    <w:rsid w:val="0023111D"/>
    <w:rsid w:val="00234FE9"/>
    <w:rsid w:val="0023621B"/>
    <w:rsid w:val="002375BF"/>
    <w:rsid w:val="0024149E"/>
    <w:rsid w:val="002418DE"/>
    <w:rsid w:val="00243748"/>
    <w:rsid w:val="00243967"/>
    <w:rsid w:val="00245958"/>
    <w:rsid w:val="00255F84"/>
    <w:rsid w:val="00261A4E"/>
    <w:rsid w:val="00284156"/>
    <w:rsid w:val="00290425"/>
    <w:rsid w:val="00294B28"/>
    <w:rsid w:val="00297284"/>
    <w:rsid w:val="002A0ADA"/>
    <w:rsid w:val="002B1AF2"/>
    <w:rsid w:val="002D56F7"/>
    <w:rsid w:val="002E5C02"/>
    <w:rsid w:val="002E6560"/>
    <w:rsid w:val="002E6672"/>
    <w:rsid w:val="002E7723"/>
    <w:rsid w:val="002E7765"/>
    <w:rsid w:val="002F28E3"/>
    <w:rsid w:val="00304D4D"/>
    <w:rsid w:val="00305F5F"/>
    <w:rsid w:val="0031146C"/>
    <w:rsid w:val="00321CCD"/>
    <w:rsid w:val="003274BE"/>
    <w:rsid w:val="003275A5"/>
    <w:rsid w:val="00330451"/>
    <w:rsid w:val="00330694"/>
    <w:rsid w:val="00331D1A"/>
    <w:rsid w:val="0034304C"/>
    <w:rsid w:val="00351148"/>
    <w:rsid w:val="00352321"/>
    <w:rsid w:val="003554E2"/>
    <w:rsid w:val="00356A03"/>
    <w:rsid w:val="0036081F"/>
    <w:rsid w:val="0036141A"/>
    <w:rsid w:val="00361E81"/>
    <w:rsid w:val="00371424"/>
    <w:rsid w:val="0037162F"/>
    <w:rsid w:val="00371726"/>
    <w:rsid w:val="00382DF9"/>
    <w:rsid w:val="00384A9D"/>
    <w:rsid w:val="00387027"/>
    <w:rsid w:val="003A0A9D"/>
    <w:rsid w:val="003A2B5D"/>
    <w:rsid w:val="003A73B5"/>
    <w:rsid w:val="003B084D"/>
    <w:rsid w:val="003B19B7"/>
    <w:rsid w:val="003B4F8C"/>
    <w:rsid w:val="003B5E36"/>
    <w:rsid w:val="003C6D5F"/>
    <w:rsid w:val="003C7567"/>
    <w:rsid w:val="003D4B5A"/>
    <w:rsid w:val="003F1B95"/>
    <w:rsid w:val="003F20E3"/>
    <w:rsid w:val="003F36E4"/>
    <w:rsid w:val="003F6332"/>
    <w:rsid w:val="003F63BE"/>
    <w:rsid w:val="003F6A3C"/>
    <w:rsid w:val="0040099B"/>
    <w:rsid w:val="004030EB"/>
    <w:rsid w:val="00404700"/>
    <w:rsid w:val="004231F7"/>
    <w:rsid w:val="00425277"/>
    <w:rsid w:val="00431BBC"/>
    <w:rsid w:val="004324CE"/>
    <w:rsid w:val="00440536"/>
    <w:rsid w:val="0044094F"/>
    <w:rsid w:val="00446937"/>
    <w:rsid w:val="00446A94"/>
    <w:rsid w:val="004473BF"/>
    <w:rsid w:val="00451FAB"/>
    <w:rsid w:val="00454D3C"/>
    <w:rsid w:val="00464861"/>
    <w:rsid w:val="00466057"/>
    <w:rsid w:val="004715EF"/>
    <w:rsid w:val="00475195"/>
    <w:rsid w:val="004810CF"/>
    <w:rsid w:val="00486F18"/>
    <w:rsid w:val="00487FB3"/>
    <w:rsid w:val="00493C77"/>
    <w:rsid w:val="00493D01"/>
    <w:rsid w:val="004A0ABD"/>
    <w:rsid w:val="004A367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217BE"/>
    <w:rsid w:val="005217DA"/>
    <w:rsid w:val="00521DB0"/>
    <w:rsid w:val="00524A84"/>
    <w:rsid w:val="0052545A"/>
    <w:rsid w:val="00526073"/>
    <w:rsid w:val="00537F58"/>
    <w:rsid w:val="00547312"/>
    <w:rsid w:val="00554D1E"/>
    <w:rsid w:val="005621B9"/>
    <w:rsid w:val="00567B64"/>
    <w:rsid w:val="00580B36"/>
    <w:rsid w:val="005917D0"/>
    <w:rsid w:val="005A2832"/>
    <w:rsid w:val="005A2A75"/>
    <w:rsid w:val="005A2D70"/>
    <w:rsid w:val="005A7FA3"/>
    <w:rsid w:val="005B4989"/>
    <w:rsid w:val="005B6263"/>
    <w:rsid w:val="005B641E"/>
    <w:rsid w:val="005C06BA"/>
    <w:rsid w:val="005C777A"/>
    <w:rsid w:val="005C7931"/>
    <w:rsid w:val="005D1BD4"/>
    <w:rsid w:val="005D40B6"/>
    <w:rsid w:val="005D4ED4"/>
    <w:rsid w:val="005E2619"/>
    <w:rsid w:val="005F2177"/>
    <w:rsid w:val="005F4B1C"/>
    <w:rsid w:val="005F6502"/>
    <w:rsid w:val="0060432F"/>
    <w:rsid w:val="00617E11"/>
    <w:rsid w:val="00623794"/>
    <w:rsid w:val="00625E04"/>
    <w:rsid w:val="00635C02"/>
    <w:rsid w:val="00635C8F"/>
    <w:rsid w:val="00647F05"/>
    <w:rsid w:val="006505F7"/>
    <w:rsid w:val="00667B67"/>
    <w:rsid w:val="006A1E02"/>
    <w:rsid w:val="006B0999"/>
    <w:rsid w:val="006B7B18"/>
    <w:rsid w:val="006C3182"/>
    <w:rsid w:val="006C487B"/>
    <w:rsid w:val="006C500C"/>
    <w:rsid w:val="006C73E7"/>
    <w:rsid w:val="006D0014"/>
    <w:rsid w:val="006D1FF5"/>
    <w:rsid w:val="006D68E2"/>
    <w:rsid w:val="006E4C17"/>
    <w:rsid w:val="006F2377"/>
    <w:rsid w:val="006F4C92"/>
    <w:rsid w:val="006F7535"/>
    <w:rsid w:val="00701A37"/>
    <w:rsid w:val="00713C93"/>
    <w:rsid w:val="0071466B"/>
    <w:rsid w:val="007275BA"/>
    <w:rsid w:val="007354F4"/>
    <w:rsid w:val="007367DB"/>
    <w:rsid w:val="00750881"/>
    <w:rsid w:val="00757E79"/>
    <w:rsid w:val="007738BF"/>
    <w:rsid w:val="0078484D"/>
    <w:rsid w:val="00791888"/>
    <w:rsid w:val="00797AE0"/>
    <w:rsid w:val="007A47FA"/>
    <w:rsid w:val="007A6718"/>
    <w:rsid w:val="007B136E"/>
    <w:rsid w:val="007B3D88"/>
    <w:rsid w:val="007C6E91"/>
    <w:rsid w:val="007D067E"/>
    <w:rsid w:val="007D5A5C"/>
    <w:rsid w:val="007D7ECA"/>
    <w:rsid w:val="008007D1"/>
    <w:rsid w:val="00802169"/>
    <w:rsid w:val="00802403"/>
    <w:rsid w:val="00802608"/>
    <w:rsid w:val="008058B3"/>
    <w:rsid w:val="008062A0"/>
    <w:rsid w:val="00816108"/>
    <w:rsid w:val="008316BC"/>
    <w:rsid w:val="008339C0"/>
    <w:rsid w:val="008343F2"/>
    <w:rsid w:val="00840711"/>
    <w:rsid w:val="0084794A"/>
    <w:rsid w:val="00863B45"/>
    <w:rsid w:val="00866CBE"/>
    <w:rsid w:val="0086707F"/>
    <w:rsid w:val="00867846"/>
    <w:rsid w:val="008715D0"/>
    <w:rsid w:val="00875BD2"/>
    <w:rsid w:val="00876794"/>
    <w:rsid w:val="008907B7"/>
    <w:rsid w:val="008A1DA7"/>
    <w:rsid w:val="008A372B"/>
    <w:rsid w:val="008B3733"/>
    <w:rsid w:val="008C4B0B"/>
    <w:rsid w:val="008D29F9"/>
    <w:rsid w:val="008E0371"/>
    <w:rsid w:val="008E31FD"/>
    <w:rsid w:val="008E5D98"/>
    <w:rsid w:val="008F0949"/>
    <w:rsid w:val="008F3E23"/>
    <w:rsid w:val="009004F8"/>
    <w:rsid w:val="009031F9"/>
    <w:rsid w:val="00904550"/>
    <w:rsid w:val="00905F39"/>
    <w:rsid w:val="00916D57"/>
    <w:rsid w:val="00917C86"/>
    <w:rsid w:val="0092034B"/>
    <w:rsid w:val="00935E7B"/>
    <w:rsid w:val="00951EB7"/>
    <w:rsid w:val="0096128B"/>
    <w:rsid w:val="00963889"/>
    <w:rsid w:val="00971E98"/>
    <w:rsid w:val="00976AD3"/>
    <w:rsid w:val="00983CAB"/>
    <w:rsid w:val="00997045"/>
    <w:rsid w:val="009A1BFE"/>
    <w:rsid w:val="009A3184"/>
    <w:rsid w:val="009A4569"/>
    <w:rsid w:val="009B1201"/>
    <w:rsid w:val="009B43DB"/>
    <w:rsid w:val="009C31CB"/>
    <w:rsid w:val="009C6451"/>
    <w:rsid w:val="009C786F"/>
    <w:rsid w:val="009D2A74"/>
    <w:rsid w:val="009D3091"/>
    <w:rsid w:val="009E0074"/>
    <w:rsid w:val="009E1813"/>
    <w:rsid w:val="009F03E2"/>
    <w:rsid w:val="009F081B"/>
    <w:rsid w:val="009F53A8"/>
    <w:rsid w:val="009F5FC9"/>
    <w:rsid w:val="00A0395C"/>
    <w:rsid w:val="00A053A4"/>
    <w:rsid w:val="00A20F4E"/>
    <w:rsid w:val="00A27BC0"/>
    <w:rsid w:val="00A32256"/>
    <w:rsid w:val="00A413EC"/>
    <w:rsid w:val="00A4266B"/>
    <w:rsid w:val="00A4627D"/>
    <w:rsid w:val="00A55F9A"/>
    <w:rsid w:val="00A72405"/>
    <w:rsid w:val="00A74E46"/>
    <w:rsid w:val="00A906A9"/>
    <w:rsid w:val="00A95D98"/>
    <w:rsid w:val="00AA2C88"/>
    <w:rsid w:val="00AA46C1"/>
    <w:rsid w:val="00AA4A1A"/>
    <w:rsid w:val="00AA6887"/>
    <w:rsid w:val="00AA72C5"/>
    <w:rsid w:val="00AC0532"/>
    <w:rsid w:val="00AD1F8C"/>
    <w:rsid w:val="00AD478C"/>
    <w:rsid w:val="00AD5F5E"/>
    <w:rsid w:val="00AD6340"/>
    <w:rsid w:val="00AD773A"/>
    <w:rsid w:val="00AE7D1C"/>
    <w:rsid w:val="00AF67AA"/>
    <w:rsid w:val="00B15998"/>
    <w:rsid w:val="00B16456"/>
    <w:rsid w:val="00B23214"/>
    <w:rsid w:val="00B25D55"/>
    <w:rsid w:val="00B32C7D"/>
    <w:rsid w:val="00B356AA"/>
    <w:rsid w:val="00B406B1"/>
    <w:rsid w:val="00B408A5"/>
    <w:rsid w:val="00B62F09"/>
    <w:rsid w:val="00B726E8"/>
    <w:rsid w:val="00B80AD4"/>
    <w:rsid w:val="00B812B3"/>
    <w:rsid w:val="00B816BE"/>
    <w:rsid w:val="00B87399"/>
    <w:rsid w:val="00B961D2"/>
    <w:rsid w:val="00BA147A"/>
    <w:rsid w:val="00BA676F"/>
    <w:rsid w:val="00BB20EE"/>
    <w:rsid w:val="00BC6CBD"/>
    <w:rsid w:val="00BD6614"/>
    <w:rsid w:val="00BD7E32"/>
    <w:rsid w:val="00BE54D1"/>
    <w:rsid w:val="00BF5F6D"/>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A0E3E"/>
    <w:rsid w:val="00CB20D1"/>
    <w:rsid w:val="00CB3370"/>
    <w:rsid w:val="00CB58AC"/>
    <w:rsid w:val="00CC1ADB"/>
    <w:rsid w:val="00CC3DA4"/>
    <w:rsid w:val="00CD1A02"/>
    <w:rsid w:val="00CD229D"/>
    <w:rsid w:val="00CD2C50"/>
    <w:rsid w:val="00CE24AF"/>
    <w:rsid w:val="00CE2618"/>
    <w:rsid w:val="00CE3196"/>
    <w:rsid w:val="00CF0385"/>
    <w:rsid w:val="00CF54BE"/>
    <w:rsid w:val="00D04421"/>
    <w:rsid w:val="00D11410"/>
    <w:rsid w:val="00D22EE9"/>
    <w:rsid w:val="00D30A2A"/>
    <w:rsid w:val="00D30C07"/>
    <w:rsid w:val="00D3293A"/>
    <w:rsid w:val="00D405D5"/>
    <w:rsid w:val="00D40F95"/>
    <w:rsid w:val="00D4136D"/>
    <w:rsid w:val="00D4352F"/>
    <w:rsid w:val="00D44FD7"/>
    <w:rsid w:val="00D51344"/>
    <w:rsid w:val="00D518C7"/>
    <w:rsid w:val="00D74076"/>
    <w:rsid w:val="00D74870"/>
    <w:rsid w:val="00D8287E"/>
    <w:rsid w:val="00D8464A"/>
    <w:rsid w:val="00D8476C"/>
    <w:rsid w:val="00D86EEA"/>
    <w:rsid w:val="00DC3A35"/>
    <w:rsid w:val="00DC3F5D"/>
    <w:rsid w:val="00DC41B1"/>
    <w:rsid w:val="00DE6697"/>
    <w:rsid w:val="00DF2447"/>
    <w:rsid w:val="00DF4888"/>
    <w:rsid w:val="00E02B86"/>
    <w:rsid w:val="00E0405D"/>
    <w:rsid w:val="00E07B7A"/>
    <w:rsid w:val="00E12936"/>
    <w:rsid w:val="00E1410E"/>
    <w:rsid w:val="00E22777"/>
    <w:rsid w:val="00E2559C"/>
    <w:rsid w:val="00E25DE7"/>
    <w:rsid w:val="00E34199"/>
    <w:rsid w:val="00E47C5D"/>
    <w:rsid w:val="00E511F1"/>
    <w:rsid w:val="00E5280D"/>
    <w:rsid w:val="00E52B2F"/>
    <w:rsid w:val="00E622FA"/>
    <w:rsid w:val="00E6577F"/>
    <w:rsid w:val="00E721B9"/>
    <w:rsid w:val="00E72D82"/>
    <w:rsid w:val="00E81CAB"/>
    <w:rsid w:val="00E83D06"/>
    <w:rsid w:val="00E9435C"/>
    <w:rsid w:val="00EB11C4"/>
    <w:rsid w:val="00EB5179"/>
    <w:rsid w:val="00EC0B9F"/>
    <w:rsid w:val="00EC786B"/>
    <w:rsid w:val="00ED1434"/>
    <w:rsid w:val="00ED5E8F"/>
    <w:rsid w:val="00EE5311"/>
    <w:rsid w:val="00EF1486"/>
    <w:rsid w:val="00EF2D6C"/>
    <w:rsid w:val="00F01149"/>
    <w:rsid w:val="00F03943"/>
    <w:rsid w:val="00F11482"/>
    <w:rsid w:val="00F17648"/>
    <w:rsid w:val="00F260DA"/>
    <w:rsid w:val="00F26449"/>
    <w:rsid w:val="00F26DC8"/>
    <w:rsid w:val="00F40D32"/>
    <w:rsid w:val="00F56AFC"/>
    <w:rsid w:val="00F60D5F"/>
    <w:rsid w:val="00F621D5"/>
    <w:rsid w:val="00F87223"/>
    <w:rsid w:val="00F918FA"/>
    <w:rsid w:val="00F93C4E"/>
    <w:rsid w:val="00F943F6"/>
    <w:rsid w:val="00F97AC1"/>
    <w:rsid w:val="00F97E05"/>
    <w:rsid w:val="00FA4655"/>
    <w:rsid w:val="00FA7A85"/>
    <w:rsid w:val="00FB69DB"/>
    <w:rsid w:val="00FC290D"/>
    <w:rsid w:val="00FC3F82"/>
    <w:rsid w:val="00FC5038"/>
    <w:rsid w:val="00FE06AC"/>
    <w:rsid w:val="00FF07D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111319"/>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C1E8-DD17-4AAC-8CBB-BAD9205C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12</cp:revision>
  <cp:lastPrinted>2022-05-18T08:22:00Z</cp:lastPrinted>
  <dcterms:created xsi:type="dcterms:W3CDTF">2021-01-21T14:38:00Z</dcterms:created>
  <dcterms:modified xsi:type="dcterms:W3CDTF">2022-07-14T14:50:00Z</dcterms:modified>
</cp:coreProperties>
</file>